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410F451" w:rsidR="00F110CD" w:rsidRPr="004F0D45" w:rsidRDefault="00F110CD" w:rsidP="005D664D">
      <w:pPr>
        <w:pStyle w:val="Header"/>
        <w:tabs>
          <w:tab w:val="right" w:pos="9639"/>
        </w:tabs>
        <w:jc w:val="both"/>
        <w:rPr>
          <w:bCs/>
          <w:noProof w:val="0"/>
          <w:sz w:val="24"/>
          <w:szCs w:val="24"/>
          <w:lang w:val="en-GB"/>
        </w:rPr>
      </w:pPr>
      <w:bookmarkStart w:id="0" w:name="_Hlk37418177"/>
      <w:r w:rsidRPr="004F0D45">
        <w:rPr>
          <w:bCs/>
          <w:noProof w:val="0"/>
          <w:sz w:val="24"/>
          <w:szCs w:val="24"/>
          <w:lang w:val="en-GB"/>
        </w:rPr>
        <w:t>3GPP TSG RA</w:t>
      </w:r>
      <w:r w:rsidR="00BA1872" w:rsidRPr="004F0D45">
        <w:rPr>
          <w:bCs/>
          <w:noProof w:val="0"/>
          <w:sz w:val="24"/>
          <w:szCs w:val="24"/>
          <w:lang w:val="en-GB"/>
        </w:rPr>
        <w:t>N WG1</w:t>
      </w:r>
      <w:r w:rsidR="00DE1B83" w:rsidRPr="004F0D45">
        <w:rPr>
          <w:bCs/>
          <w:noProof w:val="0"/>
          <w:sz w:val="24"/>
          <w:szCs w:val="24"/>
          <w:lang w:val="en-GB"/>
        </w:rPr>
        <w:t xml:space="preserve"> Meeting</w:t>
      </w:r>
      <w:r w:rsidR="00BA1872" w:rsidRPr="004F0D45">
        <w:rPr>
          <w:bCs/>
          <w:noProof w:val="0"/>
          <w:sz w:val="24"/>
          <w:szCs w:val="24"/>
          <w:lang w:val="en-GB"/>
        </w:rPr>
        <w:t xml:space="preserve"> </w:t>
      </w:r>
      <w:r w:rsidR="00B65452" w:rsidRPr="004F0D45">
        <w:rPr>
          <w:bCs/>
          <w:noProof w:val="0"/>
          <w:sz w:val="24"/>
          <w:szCs w:val="24"/>
          <w:lang w:val="en-GB"/>
        </w:rPr>
        <w:t>#</w:t>
      </w:r>
      <w:r w:rsidR="00191E79" w:rsidRPr="004F0D45">
        <w:rPr>
          <w:bCs/>
          <w:noProof w:val="0"/>
          <w:sz w:val="24"/>
          <w:szCs w:val="24"/>
          <w:lang w:val="en-GB"/>
        </w:rPr>
        <w:t>1</w:t>
      </w:r>
      <w:r w:rsidR="00F07F6F" w:rsidRPr="004F0D45">
        <w:rPr>
          <w:bCs/>
          <w:noProof w:val="0"/>
          <w:sz w:val="24"/>
          <w:szCs w:val="24"/>
          <w:lang w:val="en-GB"/>
        </w:rPr>
        <w:t>1</w:t>
      </w:r>
      <w:r w:rsidR="00625EC5" w:rsidRPr="004F0D45">
        <w:rPr>
          <w:bCs/>
          <w:noProof w:val="0"/>
          <w:sz w:val="24"/>
          <w:szCs w:val="24"/>
          <w:lang w:val="en-GB"/>
        </w:rPr>
        <w:t>3</w:t>
      </w:r>
      <w:r w:rsidR="001348FE" w:rsidRPr="004F0D45">
        <w:rPr>
          <w:lang w:val="en-GB"/>
        </w:rPr>
        <w:tab/>
      </w:r>
      <w:r w:rsidR="00DA1B7B" w:rsidRPr="004F0D45">
        <w:rPr>
          <w:bCs/>
          <w:noProof w:val="0"/>
          <w:sz w:val="24"/>
          <w:szCs w:val="24"/>
          <w:lang w:val="en-GB"/>
        </w:rPr>
        <w:t>R1-</w:t>
      </w:r>
      <w:r w:rsidR="008E33E5" w:rsidRPr="004F0D45">
        <w:rPr>
          <w:rFonts w:cs="Arial"/>
          <w:sz w:val="24"/>
          <w:szCs w:val="24"/>
        </w:rPr>
        <w:t xml:space="preserve"> 230</w:t>
      </w:r>
      <w:r w:rsidR="00551AE6" w:rsidRPr="004F0D45">
        <w:rPr>
          <w:rFonts w:cs="Arial"/>
          <w:sz w:val="24"/>
          <w:szCs w:val="24"/>
        </w:rPr>
        <w:t>5188</w:t>
      </w:r>
    </w:p>
    <w:p w14:paraId="30E02940" w14:textId="3C2B0CAA" w:rsidR="00CA26CE" w:rsidRPr="004F0D45" w:rsidRDefault="00625EC5" w:rsidP="005D664D">
      <w:pPr>
        <w:pStyle w:val="Header"/>
        <w:jc w:val="both"/>
        <w:rPr>
          <w:bCs/>
          <w:noProof w:val="0"/>
          <w:sz w:val="24"/>
          <w:szCs w:val="24"/>
          <w:lang w:val="en-GB"/>
        </w:rPr>
      </w:pPr>
      <w:r w:rsidRPr="004F0D45">
        <w:rPr>
          <w:rFonts w:cs="Arial"/>
          <w:bCs/>
          <w:sz w:val="24"/>
          <w:szCs w:val="28"/>
          <w:lang w:eastAsia="zh-TW"/>
        </w:rPr>
        <w:t>Incheon</w:t>
      </w:r>
      <w:r w:rsidR="00E53C76" w:rsidRPr="004F0D45">
        <w:rPr>
          <w:rFonts w:cs="Arial"/>
          <w:bCs/>
          <w:sz w:val="24"/>
          <w:szCs w:val="28"/>
          <w:lang w:eastAsia="zh-TW"/>
        </w:rPr>
        <w:t>,</w:t>
      </w:r>
      <w:r w:rsidRPr="004F0D45">
        <w:rPr>
          <w:rFonts w:cs="Arial"/>
          <w:bCs/>
          <w:sz w:val="24"/>
          <w:szCs w:val="28"/>
          <w:lang w:eastAsia="zh-TW"/>
        </w:rPr>
        <w:t xml:space="preserve"> Korea,</w:t>
      </w:r>
      <w:r w:rsidR="00E53C76" w:rsidRPr="004F0D45">
        <w:rPr>
          <w:rFonts w:cs="Arial"/>
          <w:bCs/>
          <w:sz w:val="24"/>
          <w:szCs w:val="28"/>
          <w:lang w:eastAsia="zh-TW"/>
        </w:rPr>
        <w:t xml:space="preserve"> </w:t>
      </w:r>
      <w:r w:rsidRPr="004F0D45">
        <w:rPr>
          <w:rFonts w:cs="Arial"/>
          <w:bCs/>
          <w:sz w:val="24"/>
          <w:szCs w:val="28"/>
          <w:lang w:eastAsia="zh-TW"/>
        </w:rPr>
        <w:t>May</w:t>
      </w:r>
      <w:r w:rsidR="00376FC4" w:rsidRPr="004F0D45">
        <w:rPr>
          <w:rFonts w:cs="Arial"/>
          <w:bCs/>
          <w:sz w:val="24"/>
          <w:szCs w:val="28"/>
          <w:lang w:eastAsia="zh-TW"/>
        </w:rPr>
        <w:t xml:space="preserve"> </w:t>
      </w:r>
      <w:r w:rsidRPr="004F0D45">
        <w:rPr>
          <w:rFonts w:cs="Arial"/>
          <w:bCs/>
          <w:sz w:val="24"/>
          <w:szCs w:val="28"/>
          <w:lang w:eastAsia="zh-TW"/>
        </w:rPr>
        <w:t>22</w:t>
      </w:r>
      <w:r w:rsidRPr="004F0D45">
        <w:rPr>
          <w:rFonts w:cs="Arial"/>
          <w:bCs/>
          <w:sz w:val="24"/>
          <w:szCs w:val="28"/>
          <w:vertAlign w:val="superscript"/>
          <w:lang w:eastAsia="zh-TW"/>
        </w:rPr>
        <w:t>nd</w:t>
      </w:r>
      <w:r w:rsidR="00376FC4" w:rsidRPr="004F0D45">
        <w:rPr>
          <w:rFonts w:cs="Arial"/>
          <w:bCs/>
          <w:sz w:val="24"/>
          <w:szCs w:val="28"/>
          <w:lang w:eastAsia="zh-TW"/>
        </w:rPr>
        <w:t xml:space="preserve"> – </w:t>
      </w:r>
      <w:r w:rsidR="00AD7063" w:rsidRPr="004F0D45">
        <w:rPr>
          <w:rFonts w:cs="Arial"/>
          <w:bCs/>
          <w:sz w:val="24"/>
          <w:szCs w:val="28"/>
          <w:lang w:eastAsia="zh-TW"/>
        </w:rPr>
        <w:t>26</w:t>
      </w:r>
      <w:r w:rsidR="00AD7063" w:rsidRPr="004F0D45">
        <w:rPr>
          <w:rFonts w:cs="Arial"/>
          <w:bCs/>
          <w:sz w:val="24"/>
          <w:szCs w:val="28"/>
          <w:vertAlign w:val="superscript"/>
          <w:lang w:eastAsia="zh-TW"/>
        </w:rPr>
        <w:t>th</w:t>
      </w:r>
      <w:r w:rsidR="002778BD" w:rsidRPr="004F0D45">
        <w:rPr>
          <w:bCs/>
          <w:noProof w:val="0"/>
          <w:sz w:val="24"/>
          <w:szCs w:val="24"/>
          <w:lang w:val="en-GB"/>
        </w:rPr>
        <w:t>, 202</w:t>
      </w:r>
      <w:r w:rsidR="00B54512" w:rsidRPr="004F0D45">
        <w:rPr>
          <w:bCs/>
          <w:noProof w:val="0"/>
          <w:sz w:val="24"/>
          <w:szCs w:val="24"/>
          <w:lang w:val="en-GB"/>
        </w:rPr>
        <w:t>3</w:t>
      </w:r>
    </w:p>
    <w:bookmarkEnd w:id="0"/>
    <w:p w14:paraId="2CFE1919" w14:textId="77777777" w:rsidR="00850D96" w:rsidRPr="004F0D45" w:rsidRDefault="00850D96" w:rsidP="005D664D">
      <w:pPr>
        <w:pStyle w:val="Header"/>
        <w:jc w:val="both"/>
        <w:rPr>
          <w:bCs/>
          <w:noProof w:val="0"/>
          <w:sz w:val="24"/>
          <w:lang w:val="en-GB" w:eastAsia="ja-JP"/>
        </w:rPr>
      </w:pPr>
    </w:p>
    <w:p w14:paraId="30E02941" w14:textId="5504327A" w:rsidR="0034111C" w:rsidRPr="004F0D45" w:rsidRDefault="0034111C" w:rsidP="007A345E">
      <w:pPr>
        <w:pStyle w:val="CRCoverPage"/>
        <w:spacing w:after="0"/>
        <w:contextualSpacing/>
        <w:jc w:val="both"/>
        <w:rPr>
          <w:rFonts w:cs="Arial"/>
          <w:b/>
          <w:bCs/>
          <w:sz w:val="24"/>
          <w:szCs w:val="24"/>
          <w:lang w:eastAsia="ja-JP"/>
        </w:rPr>
      </w:pPr>
      <w:r w:rsidRPr="004F0D45">
        <w:rPr>
          <w:rFonts w:cs="Arial"/>
          <w:b/>
          <w:bCs/>
          <w:sz w:val="24"/>
          <w:szCs w:val="24"/>
        </w:rPr>
        <w:t>Agenda item:</w:t>
      </w:r>
      <w:r w:rsidRPr="004F0D45">
        <w:rPr>
          <w:rFonts w:cs="Arial"/>
          <w:b/>
          <w:bCs/>
          <w:sz w:val="24"/>
        </w:rPr>
        <w:tab/>
      </w:r>
      <w:r w:rsidRPr="004F0D45">
        <w:rPr>
          <w:rFonts w:cs="Arial"/>
          <w:b/>
          <w:bCs/>
          <w:sz w:val="24"/>
        </w:rPr>
        <w:tab/>
      </w:r>
      <w:r w:rsidR="00675EB7" w:rsidRPr="004F0D45">
        <w:rPr>
          <w:rFonts w:cs="Arial"/>
          <w:b/>
          <w:bCs/>
          <w:sz w:val="24"/>
          <w:szCs w:val="24"/>
        </w:rPr>
        <w:t>9</w:t>
      </w:r>
      <w:r w:rsidR="00CC7843" w:rsidRPr="004F0D45">
        <w:rPr>
          <w:rFonts w:cs="Arial"/>
          <w:b/>
          <w:bCs/>
          <w:sz w:val="24"/>
          <w:szCs w:val="24"/>
        </w:rPr>
        <w:t>.</w:t>
      </w:r>
      <w:r w:rsidR="00675EB7" w:rsidRPr="004F0D45">
        <w:rPr>
          <w:rFonts w:cs="Arial"/>
          <w:b/>
          <w:bCs/>
          <w:sz w:val="24"/>
          <w:szCs w:val="24"/>
        </w:rPr>
        <w:t>3</w:t>
      </w:r>
      <w:r w:rsidR="00CC7843" w:rsidRPr="004F0D45">
        <w:rPr>
          <w:rFonts w:cs="Arial"/>
          <w:b/>
          <w:bCs/>
          <w:sz w:val="24"/>
          <w:szCs w:val="24"/>
        </w:rPr>
        <w:t>.</w:t>
      </w:r>
      <w:r w:rsidR="00675EB7" w:rsidRPr="004F0D45">
        <w:rPr>
          <w:rFonts w:cs="Arial"/>
          <w:b/>
          <w:bCs/>
          <w:sz w:val="24"/>
          <w:szCs w:val="24"/>
        </w:rPr>
        <w:t>2</w:t>
      </w:r>
    </w:p>
    <w:p w14:paraId="30E02942" w14:textId="4B6830AB" w:rsidR="00E128F2" w:rsidRPr="004F0D45" w:rsidRDefault="0034111C" w:rsidP="007A345E">
      <w:pPr>
        <w:tabs>
          <w:tab w:val="left" w:pos="1985"/>
        </w:tabs>
        <w:spacing w:after="0"/>
        <w:ind w:left="1985" w:hanging="1985"/>
        <w:contextualSpacing/>
        <w:jc w:val="both"/>
        <w:rPr>
          <w:rFonts w:ascii="Arial" w:hAnsi="Arial" w:cs="Arial"/>
          <w:b/>
          <w:bCs/>
          <w:sz w:val="24"/>
          <w:szCs w:val="24"/>
        </w:rPr>
      </w:pPr>
      <w:r w:rsidRPr="004F0D45">
        <w:rPr>
          <w:rFonts w:ascii="Arial" w:hAnsi="Arial" w:cs="Arial"/>
          <w:b/>
          <w:bCs/>
          <w:sz w:val="24"/>
          <w:szCs w:val="24"/>
        </w:rPr>
        <w:t>Source:</w:t>
      </w:r>
      <w:r w:rsidRPr="004F0D45">
        <w:rPr>
          <w:rFonts w:ascii="Arial" w:hAnsi="Arial" w:cs="Arial"/>
          <w:b/>
          <w:bCs/>
          <w:sz w:val="24"/>
        </w:rPr>
        <w:tab/>
      </w:r>
      <w:r w:rsidR="00F07F6F" w:rsidRPr="004F0D45">
        <w:rPr>
          <w:rFonts w:ascii="Arial" w:hAnsi="Arial" w:cs="Arial"/>
          <w:b/>
          <w:bCs/>
          <w:sz w:val="24"/>
          <w:szCs w:val="24"/>
        </w:rPr>
        <w:t>MediaTek Inc.</w:t>
      </w:r>
    </w:p>
    <w:p w14:paraId="30E02943" w14:textId="038ACBB7" w:rsidR="0034111C" w:rsidRPr="004F0D45" w:rsidRDefault="0034111C" w:rsidP="007A345E">
      <w:pPr>
        <w:spacing w:after="0"/>
        <w:ind w:left="1985" w:hanging="1985"/>
        <w:contextualSpacing/>
        <w:jc w:val="both"/>
        <w:rPr>
          <w:rFonts w:ascii="Arial" w:hAnsi="Arial" w:cs="Arial"/>
          <w:b/>
          <w:bCs/>
          <w:sz w:val="24"/>
          <w:szCs w:val="24"/>
        </w:rPr>
      </w:pPr>
      <w:r w:rsidRPr="004F0D45">
        <w:rPr>
          <w:rFonts w:ascii="Arial" w:hAnsi="Arial" w:cs="Arial"/>
          <w:b/>
          <w:bCs/>
          <w:sz w:val="24"/>
          <w:szCs w:val="24"/>
        </w:rPr>
        <w:t>Title:</w:t>
      </w:r>
      <w:r w:rsidRPr="004F0D45">
        <w:rPr>
          <w:rFonts w:ascii="Arial" w:hAnsi="Arial" w:cs="Arial"/>
          <w:b/>
          <w:bCs/>
          <w:sz w:val="24"/>
        </w:rPr>
        <w:tab/>
      </w:r>
      <w:r w:rsidR="002E2C49" w:rsidRPr="004F0D45">
        <w:rPr>
          <w:rFonts w:ascii="Arial" w:hAnsi="Arial" w:cs="Arial"/>
          <w:b/>
          <w:bCs/>
          <w:sz w:val="24"/>
        </w:rPr>
        <w:t>Discussion on subband non-overlapping full duplex for NR</w:t>
      </w:r>
    </w:p>
    <w:p w14:paraId="30E02944" w14:textId="27D4B30B" w:rsidR="0034111C" w:rsidRPr="004F0D45" w:rsidRDefault="0034111C" w:rsidP="007A345E">
      <w:pPr>
        <w:spacing w:after="0"/>
        <w:contextualSpacing/>
        <w:jc w:val="both"/>
        <w:rPr>
          <w:rFonts w:ascii="Arial" w:hAnsi="Arial" w:cs="Arial"/>
          <w:b/>
          <w:bCs/>
          <w:sz w:val="24"/>
          <w:szCs w:val="24"/>
        </w:rPr>
      </w:pPr>
      <w:r w:rsidRPr="004F0D45">
        <w:rPr>
          <w:rFonts w:ascii="Arial" w:hAnsi="Arial" w:cs="Arial"/>
          <w:b/>
          <w:bCs/>
          <w:sz w:val="24"/>
          <w:szCs w:val="24"/>
        </w:rPr>
        <w:t xml:space="preserve">Document </w:t>
      </w:r>
      <w:r w:rsidR="3E61DC49" w:rsidRPr="004F0D45">
        <w:rPr>
          <w:rFonts w:ascii="Arial" w:hAnsi="Arial" w:cs="Arial"/>
          <w:b/>
          <w:bCs/>
          <w:sz w:val="24"/>
          <w:szCs w:val="24"/>
        </w:rPr>
        <w:t>for:</w:t>
      </w:r>
      <w:r w:rsidRPr="004F0D45">
        <w:tab/>
      </w:r>
      <w:r w:rsidR="00220615" w:rsidRPr="004F0D45">
        <w:tab/>
      </w:r>
      <w:r w:rsidRPr="004F0D45">
        <w:rPr>
          <w:rFonts w:ascii="Arial" w:hAnsi="Arial" w:cs="Arial"/>
          <w:b/>
          <w:bCs/>
          <w:sz w:val="24"/>
          <w:szCs w:val="24"/>
        </w:rPr>
        <w:t>Discussion and Decision</w:t>
      </w:r>
    </w:p>
    <w:p w14:paraId="7CF7938E" w14:textId="633C7172" w:rsidR="00ED1327" w:rsidRPr="004F0D45" w:rsidRDefault="00EE7FA7" w:rsidP="005D664D">
      <w:pPr>
        <w:pStyle w:val="Heading1"/>
        <w:jc w:val="both"/>
      </w:pPr>
      <w:r w:rsidRPr="004F0D45">
        <w:t>Introduction</w:t>
      </w:r>
    </w:p>
    <w:p w14:paraId="700E2A91" w14:textId="5CD6D57F" w:rsidR="00995884" w:rsidRPr="004F0D45" w:rsidRDefault="00995884" w:rsidP="005D664D">
      <w:pPr>
        <w:jc w:val="both"/>
      </w:pPr>
      <w:r w:rsidRPr="004F0D45">
        <w:t>RAN has agreed in RP-2</w:t>
      </w:r>
      <w:r w:rsidR="00D047A8" w:rsidRPr="004F0D45">
        <w:t>2</w:t>
      </w:r>
      <w:r w:rsidR="006C6642" w:rsidRPr="004F0D45">
        <w:t>0633</w:t>
      </w:r>
      <w:r w:rsidRPr="004F0D45">
        <w:t xml:space="preserve"> a new Study Item on evolution of NR duplex operation with </w:t>
      </w:r>
      <w:r w:rsidR="000F6D98" w:rsidRPr="004F0D45">
        <w:t xml:space="preserve">the </w:t>
      </w:r>
      <w:r w:rsidRPr="004F0D45">
        <w:t>following objectives [1]</w:t>
      </w:r>
      <w:r w:rsidR="005135FA" w:rsidRPr="004F0D45">
        <w:fldChar w:fldCharType="begin"/>
      </w:r>
      <w:r w:rsidR="005135FA" w:rsidRPr="004F0D45">
        <w:instrText xml:space="preserve"> REF _Ref115085008 \n \h </w:instrText>
      </w:r>
      <w:r w:rsidR="002452A0" w:rsidRPr="004F0D45">
        <w:instrText xml:space="preserve"> \* MERGEFORMAT </w:instrText>
      </w:r>
      <w:r w:rsidR="005135FA" w:rsidRPr="004F0D45">
        <w:fldChar w:fldCharType="separate"/>
      </w:r>
      <w:r w:rsidR="00F230AB" w:rsidRPr="004F0D45">
        <w:t>[2]</w:t>
      </w:r>
      <w:r w:rsidR="005135FA" w:rsidRPr="004F0D45">
        <w:fldChar w:fldCharType="end"/>
      </w:r>
      <w:r w:rsidRPr="004F0D45">
        <w:t>:</w:t>
      </w:r>
    </w:p>
    <w:tbl>
      <w:tblPr>
        <w:tblStyle w:val="TableGrid"/>
        <w:tblW w:w="0" w:type="auto"/>
        <w:tblLook w:val="04A0" w:firstRow="1" w:lastRow="0" w:firstColumn="1" w:lastColumn="0" w:noHBand="0" w:noVBand="1"/>
      </w:tblPr>
      <w:tblGrid>
        <w:gridCol w:w="9629"/>
      </w:tblGrid>
      <w:tr w:rsidR="00995884" w:rsidRPr="004F0D45" w14:paraId="1B790D7A" w14:textId="77777777" w:rsidTr="003B632F">
        <w:tc>
          <w:tcPr>
            <w:tcW w:w="9629" w:type="dxa"/>
          </w:tcPr>
          <w:p w14:paraId="6A83E1AD" w14:textId="77777777" w:rsidR="00995884" w:rsidRPr="004F0D45" w:rsidRDefault="00995884" w:rsidP="005D664D">
            <w:pPr>
              <w:spacing w:after="60"/>
              <w:ind w:right="-96"/>
              <w:jc w:val="both"/>
              <w:rPr>
                <w:bCs/>
                <w:lang w:eastAsia="ko-KR"/>
              </w:rPr>
            </w:pPr>
            <w:r w:rsidRPr="004F0D45">
              <w:rPr>
                <w:bCs/>
                <w:lang w:eastAsia="ko-KR"/>
              </w:rPr>
              <w:t>The detailed objectives are as follows:</w:t>
            </w:r>
          </w:p>
          <w:p w14:paraId="6075A45B" w14:textId="77777777" w:rsidR="00995884" w:rsidRPr="004F0D45" w:rsidRDefault="00995884" w:rsidP="005D664D">
            <w:pPr>
              <w:numPr>
                <w:ilvl w:val="0"/>
                <w:numId w:val="6"/>
              </w:numPr>
              <w:spacing w:after="0"/>
              <w:ind w:left="806" w:hanging="403"/>
              <w:jc w:val="both"/>
            </w:pPr>
            <w:r w:rsidRPr="004F0D45">
              <w:t>Identify applicable and relevant deployment scenarios (RAN1).</w:t>
            </w:r>
          </w:p>
          <w:p w14:paraId="1C2F103A" w14:textId="77777777" w:rsidR="00995884" w:rsidRPr="004F0D45" w:rsidRDefault="00995884" w:rsidP="005D664D">
            <w:pPr>
              <w:numPr>
                <w:ilvl w:val="0"/>
                <w:numId w:val="6"/>
              </w:numPr>
              <w:spacing w:after="0"/>
              <w:ind w:left="806" w:hanging="403"/>
              <w:jc w:val="both"/>
            </w:pPr>
            <w:r w:rsidRPr="004F0D45">
              <w:t>Develop evaluation methodology for duplex enhancement (RAN1).</w:t>
            </w:r>
          </w:p>
          <w:p w14:paraId="548E3A64" w14:textId="77777777" w:rsidR="00995884" w:rsidRPr="004F0D45" w:rsidRDefault="00995884" w:rsidP="005D664D">
            <w:pPr>
              <w:numPr>
                <w:ilvl w:val="0"/>
                <w:numId w:val="6"/>
              </w:numPr>
              <w:spacing w:after="0"/>
              <w:ind w:left="806" w:hanging="403"/>
              <w:jc w:val="both"/>
            </w:pPr>
            <w:r w:rsidRPr="004F0D45">
              <w:rPr>
                <w:rFonts w:eastAsia="Malgun Gothic"/>
                <w:lang w:eastAsia="ko-KR"/>
              </w:rPr>
              <w:t xml:space="preserve">Study the subband non-overlapping full duplex and </w:t>
            </w:r>
            <w:bookmarkStart w:id="1" w:name="_Hlk89796625"/>
            <w:r w:rsidRPr="004F0D45">
              <w:rPr>
                <w:rFonts w:eastAsia="Malgun Gothic"/>
                <w:lang w:eastAsia="ko-KR"/>
              </w:rPr>
              <w:t xml:space="preserve">potential enhancements on </w:t>
            </w:r>
            <w:r w:rsidRPr="004F0D45">
              <w:rPr>
                <w:rFonts w:eastAsia="Malgun Gothic"/>
                <w:bCs/>
                <w:lang w:eastAsia="ko-KR"/>
              </w:rPr>
              <w:t>dynamic/flexible TDD</w:t>
            </w:r>
            <w:bookmarkEnd w:id="1"/>
            <w:r w:rsidRPr="004F0D45">
              <w:rPr>
                <w:rFonts w:eastAsia="Malgun Gothic"/>
                <w:bCs/>
                <w:lang w:eastAsia="ko-KR"/>
              </w:rPr>
              <w:t xml:space="preserve"> (RAN1, RAN4).</w:t>
            </w:r>
          </w:p>
          <w:p w14:paraId="6F62E671" w14:textId="77777777" w:rsidR="00995884" w:rsidRPr="004F0D45" w:rsidRDefault="00995884" w:rsidP="005D664D">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GB" w:eastAsia="ko-KR"/>
              </w:rPr>
            </w:pPr>
            <w:r w:rsidRPr="004F0D45">
              <w:rPr>
                <w:rFonts w:eastAsia="Malgun Gothic"/>
                <w:bCs/>
                <w:sz w:val="20"/>
                <w:szCs w:val="20"/>
                <w:lang w:val="en-GB" w:eastAsia="ko-KR"/>
              </w:rPr>
              <w:t>Identify possible schemes and evaluate their feasibility and performances (RAN1).</w:t>
            </w:r>
          </w:p>
          <w:p w14:paraId="402F6E45" w14:textId="77777777" w:rsidR="00995884" w:rsidRPr="004F0D45" w:rsidRDefault="00995884" w:rsidP="005D664D">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GB" w:eastAsia="ko-KR"/>
              </w:rPr>
            </w:pPr>
            <w:r w:rsidRPr="004F0D45">
              <w:rPr>
                <w:rFonts w:eastAsia="Malgun Gothic"/>
                <w:bCs/>
                <w:sz w:val="20"/>
                <w:szCs w:val="20"/>
                <w:lang w:val="en-GB" w:eastAsia="ko-KR"/>
              </w:rPr>
              <w:t xml:space="preserve">Study inter-gNB and inter-UE CLI handling and identify solutions to manage them (RAN1). </w:t>
            </w:r>
          </w:p>
          <w:p w14:paraId="76A61239" w14:textId="77777777" w:rsidR="00995884" w:rsidRPr="004F0D45" w:rsidRDefault="00995884" w:rsidP="005D664D">
            <w:pPr>
              <w:pStyle w:val="ListParagraph"/>
              <w:numPr>
                <w:ilvl w:val="1"/>
                <w:numId w:val="5"/>
              </w:numPr>
              <w:overflowPunct w:val="0"/>
              <w:autoSpaceDE w:val="0"/>
              <w:autoSpaceDN w:val="0"/>
              <w:adjustRightInd w:val="0"/>
              <w:spacing w:after="180"/>
              <w:jc w:val="both"/>
              <w:textAlignment w:val="baseline"/>
              <w:rPr>
                <w:rFonts w:eastAsia="Malgun Gothic"/>
                <w:bCs/>
                <w:sz w:val="20"/>
                <w:szCs w:val="20"/>
                <w:lang w:val="en-GB" w:eastAsia="ko-KR"/>
              </w:rPr>
            </w:pPr>
            <w:r w:rsidRPr="004F0D45">
              <w:rPr>
                <w:rFonts w:eastAsia="Malgun Gothic"/>
                <w:bCs/>
                <w:sz w:val="20"/>
                <w:szCs w:val="20"/>
                <w:lang w:val="en-GB" w:eastAsia="ko-KR"/>
              </w:rPr>
              <w:t xml:space="preserve">Consider intra-subband CLI and inter-subband CLI in case of the </w:t>
            </w:r>
            <w:r w:rsidRPr="004F0D45">
              <w:rPr>
                <w:rFonts w:eastAsia="Malgun Gothic"/>
                <w:sz w:val="20"/>
                <w:szCs w:val="20"/>
                <w:lang w:val="en-GB" w:eastAsia="ko-KR"/>
              </w:rPr>
              <w:t>subband non-overlapping full duplex</w:t>
            </w:r>
            <w:r w:rsidRPr="004F0D45">
              <w:rPr>
                <w:rFonts w:eastAsia="Malgun Gothic"/>
                <w:bCs/>
                <w:sz w:val="20"/>
                <w:szCs w:val="20"/>
                <w:lang w:val="en-GB" w:eastAsia="ko-KR"/>
              </w:rPr>
              <w:t>.</w:t>
            </w:r>
          </w:p>
          <w:p w14:paraId="5C1607A5" w14:textId="77706901" w:rsidR="00995884" w:rsidRPr="004F0D45" w:rsidRDefault="00995884" w:rsidP="005D664D">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GB" w:eastAsia="ko-KR"/>
              </w:rPr>
            </w:pPr>
            <w:r w:rsidRPr="004F0D45">
              <w:rPr>
                <w:rFonts w:eastAsia="Malgun Gothic"/>
                <w:bCs/>
                <w:sz w:val="20"/>
                <w:szCs w:val="20"/>
                <w:lang w:val="en-GB" w:eastAsia="ko-KR"/>
              </w:rPr>
              <w:t>Study the performance of the identified schemes as well as the impact on legacy operation assuming their co-existence in co-channel and adjacent channels (RAN1).</w:t>
            </w:r>
          </w:p>
          <w:p w14:paraId="5430375B" w14:textId="7C8E9FDA" w:rsidR="00995884" w:rsidRPr="004F0D45" w:rsidRDefault="00995884" w:rsidP="005D664D">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GB" w:eastAsia="ko-KR"/>
              </w:rPr>
            </w:pPr>
            <w:r w:rsidRPr="004F0D45">
              <w:rPr>
                <w:rFonts w:eastAsia="Malgun Gothic"/>
                <w:bCs/>
                <w:sz w:val="20"/>
                <w:szCs w:val="20"/>
                <w:lang w:val="en-GB" w:eastAsia="ko-KR"/>
              </w:rPr>
              <w:t>Study the feasibility of and impact on RF requirements considering adjacent-channel co-existence with the legacy operation (RAN4).</w:t>
            </w:r>
          </w:p>
          <w:p w14:paraId="58C885E8" w14:textId="77777777" w:rsidR="00995884" w:rsidRPr="004F0D45" w:rsidRDefault="00995884" w:rsidP="005D664D">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GB" w:eastAsia="ko-KR"/>
              </w:rPr>
            </w:pPr>
            <w:r w:rsidRPr="004F0D45">
              <w:rPr>
                <w:rFonts w:eastAsia="Malgun Gothic"/>
                <w:bCs/>
                <w:sz w:val="20"/>
                <w:szCs w:val="20"/>
                <w:lang w:val="en-GB" w:eastAsia="ko-KR"/>
              </w:rPr>
              <w:t>Study the feasibility of and impact on RF requirements considering the self-interference, the inter-subband CLI, and the inter-operator CLI at gNB and the inter-subband CLI and inter-operator CLI at UE (RAN4).</w:t>
            </w:r>
          </w:p>
          <w:p w14:paraId="1FC60C0B" w14:textId="77777777" w:rsidR="00995884" w:rsidRPr="004F0D45" w:rsidRDefault="00995884" w:rsidP="005D664D">
            <w:pPr>
              <w:pStyle w:val="ListParagraph"/>
              <w:numPr>
                <w:ilvl w:val="0"/>
                <w:numId w:val="7"/>
              </w:numPr>
              <w:overflowPunct w:val="0"/>
              <w:autoSpaceDE w:val="0"/>
              <w:autoSpaceDN w:val="0"/>
              <w:adjustRightInd w:val="0"/>
              <w:spacing w:after="180"/>
              <w:jc w:val="both"/>
              <w:textAlignment w:val="baseline"/>
              <w:rPr>
                <w:rFonts w:eastAsia="Malgun Gothic"/>
                <w:bCs/>
                <w:sz w:val="20"/>
                <w:szCs w:val="20"/>
                <w:lang w:val="en-GB" w:eastAsia="ko-KR"/>
              </w:rPr>
            </w:pPr>
            <w:r w:rsidRPr="004F0D45">
              <w:rPr>
                <w:rFonts w:eastAsia="Malgun Gothic"/>
                <w:bCs/>
                <w:sz w:val="20"/>
                <w:szCs w:val="20"/>
                <w:lang w:val="en-GB"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4F0D45">
              <w:rPr>
                <w:rFonts w:eastAsia="Malgun Gothic"/>
                <w:bCs/>
                <w:sz w:val="20"/>
                <w:szCs w:val="20"/>
                <w:lang w:val="en-GB" w:eastAsia="ko-KR"/>
              </w:rPr>
              <w:t>filtering</w:t>
            </w:r>
            <w:proofErr w:type="gramEnd"/>
            <w:r w:rsidRPr="004F0D45">
              <w:rPr>
                <w:rFonts w:eastAsia="Malgun Gothic"/>
                <w:bCs/>
                <w:sz w:val="20"/>
                <w:szCs w:val="20"/>
                <w:lang w:val="en-GB" w:eastAsia="ko-KR"/>
              </w:rPr>
              <w:t xml:space="preserve"> and digital interference suppression.</w:t>
            </w:r>
          </w:p>
          <w:p w14:paraId="0BC8D804" w14:textId="77777777" w:rsidR="00995884" w:rsidRPr="004F0D45" w:rsidRDefault="00995884" w:rsidP="005D664D">
            <w:pPr>
              <w:pStyle w:val="ListParagraph"/>
              <w:numPr>
                <w:ilvl w:val="0"/>
                <w:numId w:val="7"/>
              </w:numPr>
              <w:overflowPunct w:val="0"/>
              <w:autoSpaceDE w:val="0"/>
              <w:autoSpaceDN w:val="0"/>
              <w:adjustRightInd w:val="0"/>
              <w:spacing w:after="60"/>
              <w:ind w:left="1077" w:hanging="357"/>
              <w:jc w:val="both"/>
              <w:textAlignment w:val="baseline"/>
              <w:rPr>
                <w:sz w:val="20"/>
                <w:szCs w:val="20"/>
                <w:lang w:val="en-GB"/>
              </w:rPr>
            </w:pPr>
            <w:r w:rsidRPr="004F0D45">
              <w:rPr>
                <w:sz w:val="20"/>
                <w:szCs w:val="20"/>
                <w:lang w:val="en-GB"/>
              </w:rPr>
              <w:t>Summarize the regulatory aspects that have to be considered for deploying the identified duplex enhancements in TDD unpaired spectrum (RAN4).</w:t>
            </w:r>
          </w:p>
          <w:p w14:paraId="3313D903" w14:textId="77777777" w:rsidR="00995884" w:rsidRPr="004F0D45" w:rsidRDefault="00995884" w:rsidP="005D664D">
            <w:pPr>
              <w:spacing w:after="0"/>
              <w:jc w:val="both"/>
            </w:pPr>
            <w:r w:rsidRPr="004F0D45">
              <w:rPr>
                <w:rFonts w:eastAsia="Malgun Gothic"/>
                <w:bCs/>
                <w:lang w:eastAsia="ko-KR"/>
              </w:rPr>
              <w:t>Note: For potential enhancements on dynamic/flexible TDD, utilize the outcome of discussion in Rel-15 and Rel-16 while avoiding the repetition of the same discussion.</w:t>
            </w:r>
          </w:p>
        </w:tc>
      </w:tr>
    </w:tbl>
    <w:p w14:paraId="628C33FE" w14:textId="79121C79" w:rsidR="009E495D" w:rsidRPr="004F0D45" w:rsidRDefault="009E5D4C" w:rsidP="005D664D">
      <w:pPr>
        <w:spacing w:before="240"/>
        <w:jc w:val="both"/>
      </w:pPr>
      <w:bookmarkStart w:id="2" w:name="_Hlk510705081"/>
      <w:r w:rsidRPr="004F0D45">
        <w:t>In this contribution, first, we address BWP configuration in SBFD, downlink and uplink frequency domain resource allocation over partitioned slots/symbols, then we examine possible enhancements to UE-UE CLI measurement in SBFD</w:t>
      </w:r>
      <w:r w:rsidR="00910BE4" w:rsidRPr="004F0D45">
        <w:t xml:space="preserve"> network scenario</w:t>
      </w:r>
      <w:r w:rsidRPr="004F0D45">
        <w:t>.</w:t>
      </w:r>
    </w:p>
    <w:bookmarkEnd w:id="2"/>
    <w:p w14:paraId="10445A01" w14:textId="13CC1BA3" w:rsidR="00885580" w:rsidRPr="004F0D45" w:rsidRDefault="002B609D" w:rsidP="005D664D">
      <w:pPr>
        <w:pStyle w:val="Heading1"/>
        <w:ind w:left="431" w:hanging="431"/>
        <w:jc w:val="both"/>
      </w:pPr>
      <w:r w:rsidRPr="004F0D45">
        <w:t>Discussion</w:t>
      </w:r>
    </w:p>
    <w:p w14:paraId="6446F5EE" w14:textId="280B0F98" w:rsidR="00000011" w:rsidRPr="004F0D45" w:rsidRDefault="00B77611" w:rsidP="00523264">
      <w:pPr>
        <w:pStyle w:val="Heading2"/>
        <w:jc w:val="both"/>
        <w:rPr>
          <w:rStyle w:val="Emphasis"/>
          <w:i w:val="0"/>
          <w:iCs w:val="0"/>
        </w:rPr>
      </w:pPr>
      <w:r w:rsidRPr="004F0D45">
        <w:t>SBFD partition signalling</w:t>
      </w:r>
      <w:r w:rsidR="00616EA5" w:rsidRPr="004F0D45">
        <w:t xml:space="preserve"> within a TDD carrier</w:t>
      </w:r>
    </w:p>
    <w:p w14:paraId="32B72866" w14:textId="5A4ED95A" w:rsidR="006812FB" w:rsidRPr="004F0D45" w:rsidRDefault="006812FB" w:rsidP="006812FB">
      <w:pPr>
        <w:spacing w:before="120"/>
        <w:jc w:val="both"/>
        <w:rPr>
          <w:rStyle w:val="Emphasis"/>
          <w:i w:val="0"/>
          <w:iCs w:val="0"/>
          <w:bdr w:val="none" w:sz="0" w:space="0" w:color="auto" w:frame="1"/>
        </w:rPr>
      </w:pPr>
      <w:r w:rsidRPr="004F0D45">
        <w:rPr>
          <w:bdr w:val="none" w:sz="0" w:space="0" w:color="auto" w:frame="1"/>
        </w:rPr>
        <w:t>SBFD layout can be separated into frequency-domain partitioning and a time-domain pattern indicating the time location of SBFD slots/symbols within a single carrier. In this section we provide views on these configurations. In addition</w:t>
      </w:r>
      <w:r w:rsidR="00935ED5" w:rsidRPr="004F0D45">
        <w:rPr>
          <w:bdr w:val="none" w:sz="0" w:space="0" w:color="auto" w:frame="1"/>
        </w:rPr>
        <w:t xml:space="preserve">, </w:t>
      </w:r>
      <w:r w:rsidRPr="004F0D45">
        <w:rPr>
          <w:bdr w:val="none" w:sz="0" w:space="0" w:color="auto" w:frame="1"/>
        </w:rPr>
        <w:t xml:space="preserve">we provide views on SBFD aware UE behaviour in SBFD symbols. </w:t>
      </w:r>
    </w:p>
    <w:p w14:paraId="5FC2D337" w14:textId="6EDE5098" w:rsidR="00425E85" w:rsidRPr="004F0D45" w:rsidRDefault="00425E85" w:rsidP="005D664D">
      <w:pPr>
        <w:pStyle w:val="Heading3"/>
        <w:jc w:val="both"/>
      </w:pPr>
      <w:r w:rsidRPr="004F0D45">
        <w:t xml:space="preserve">SBFD partition/layout </w:t>
      </w:r>
    </w:p>
    <w:p w14:paraId="281B9AC0" w14:textId="0BD7ECEA" w:rsidR="00FA1E01" w:rsidRPr="004F0D45" w:rsidRDefault="004D7FCA" w:rsidP="004D7FCA">
      <w:pPr>
        <w:jc w:val="both"/>
      </w:pPr>
      <w:r w:rsidRPr="004F0D45">
        <w:t>Discussions in previous RAN1 meetings have mainly focused</w:t>
      </w:r>
      <w:r w:rsidR="00142082" w:rsidRPr="004F0D45">
        <w:t xml:space="preserve"> on</w:t>
      </w:r>
      <w:r w:rsidRPr="004F0D45">
        <w:t xml:space="preserve"> </w:t>
      </w:r>
      <w:r w:rsidR="00D52239" w:rsidRPr="004F0D45">
        <w:t xml:space="preserve">having </w:t>
      </w:r>
      <w:r w:rsidRPr="004F0D45">
        <w:t xml:space="preserve">a single SBFD </w:t>
      </w:r>
      <w:r w:rsidR="00D52239" w:rsidRPr="004F0D45">
        <w:t>subband partition/layout</w:t>
      </w:r>
      <w:r w:rsidRPr="004F0D45">
        <w:t xml:space="preserve">, i.e., one of {DUD}, {UDU}, {UD} or {DU} SBFD </w:t>
      </w:r>
      <w:r w:rsidR="00241316" w:rsidRPr="004F0D45">
        <w:t xml:space="preserve">subband </w:t>
      </w:r>
      <w:r w:rsidRPr="004F0D45">
        <w:t xml:space="preserve">partitions/layout </w:t>
      </w:r>
      <w:r w:rsidR="002942C8" w:rsidRPr="004F0D45">
        <w:t>can be</w:t>
      </w:r>
      <w:r w:rsidRPr="004F0D45">
        <w:t xml:space="preserve"> configured.</w:t>
      </w:r>
      <w:r w:rsidR="00E37932" w:rsidRPr="004F0D45">
        <w:t xml:space="preserve"> However, as shown in </w:t>
      </w:r>
      <w:r w:rsidR="00DD430D" w:rsidRPr="004F0D45">
        <w:fldChar w:fldCharType="begin"/>
      </w:r>
      <w:r w:rsidR="00DD430D" w:rsidRPr="004F0D45">
        <w:instrText xml:space="preserve"> REF _Ref134105890 \h </w:instrText>
      </w:r>
      <w:r w:rsidR="004F0D45">
        <w:instrText xml:space="preserve"> \* MERGEFORMAT </w:instrText>
      </w:r>
      <w:r w:rsidR="00DD430D" w:rsidRPr="004F0D45">
        <w:fldChar w:fldCharType="separate"/>
      </w:r>
      <w:r w:rsidR="00F230AB" w:rsidRPr="004F0D45">
        <w:rPr>
          <w:bdr w:val="none" w:sz="0" w:space="0" w:color="auto" w:frame="1"/>
        </w:rPr>
        <w:t xml:space="preserve">Figure </w:t>
      </w:r>
      <w:r w:rsidR="00F230AB" w:rsidRPr="004F0D45">
        <w:rPr>
          <w:noProof/>
        </w:rPr>
        <w:t>1</w:t>
      </w:r>
      <w:r w:rsidR="00DD430D" w:rsidRPr="004F0D45">
        <w:fldChar w:fldCharType="end"/>
      </w:r>
      <w:r w:rsidR="00E37932" w:rsidRPr="004F0D45">
        <w:t xml:space="preserve">, a single </w:t>
      </w:r>
      <w:r w:rsidR="003A455E" w:rsidRPr="004F0D45">
        <w:t xml:space="preserve">configuration of </w:t>
      </w:r>
      <w:r w:rsidR="00E37932" w:rsidRPr="004F0D45">
        <w:t xml:space="preserve">SBFD </w:t>
      </w:r>
      <w:r w:rsidR="003A455E" w:rsidRPr="004F0D45">
        <w:t>subband partition/layout</w:t>
      </w:r>
      <w:r w:rsidR="00E37932" w:rsidRPr="004F0D45">
        <w:t xml:space="preserve"> cannot provide frequency isolation for all</w:t>
      </w:r>
      <w:r w:rsidR="003A455E" w:rsidRPr="004F0D45">
        <w:t xml:space="preserve"> </w:t>
      </w:r>
      <w:r w:rsidR="00E37932" w:rsidRPr="004F0D45">
        <w:t>slots.</w:t>
      </w:r>
      <w:r w:rsidR="009068AB" w:rsidRPr="004F0D45">
        <w:t xml:space="preserve"> </w:t>
      </w:r>
      <w:r w:rsidR="00726A86" w:rsidRPr="004F0D45">
        <w:t>I</w:t>
      </w:r>
      <w:r w:rsidR="009068AB" w:rsidRPr="004F0D45">
        <w:t>t is obvious</w:t>
      </w:r>
      <w:r w:rsidR="00726A86" w:rsidRPr="004F0D45">
        <w:t xml:space="preserve"> from the figure</w:t>
      </w:r>
      <w:r w:rsidR="009068AB" w:rsidRPr="004F0D45">
        <w:t xml:space="preserve"> that configuring only {DUD} SBFD </w:t>
      </w:r>
      <w:r w:rsidR="00241316" w:rsidRPr="004F0D45">
        <w:t xml:space="preserve">subband </w:t>
      </w:r>
      <w:r w:rsidR="009068AB" w:rsidRPr="004F0D45">
        <w:t xml:space="preserve">layout </w:t>
      </w:r>
      <w:r w:rsidR="00DE765F" w:rsidRPr="004F0D45">
        <w:t>will provide frequency isolation against slots defined as “downlink</w:t>
      </w:r>
      <w:r w:rsidR="00726A86" w:rsidRPr="004F0D45">
        <w:t>” in the neighbouring gNB (first three slots). Similarly, configuring only the {UDU} SBFD</w:t>
      </w:r>
      <w:r w:rsidR="00FA1E01" w:rsidRPr="004F0D45">
        <w:t xml:space="preserve"> subband</w:t>
      </w:r>
      <w:r w:rsidR="00726A86" w:rsidRPr="004F0D45">
        <w:t xml:space="preserve"> layout will provide frequency isolation against slots defined as “uplink” in the neighbouring gNB (last slot). This shows that </w:t>
      </w:r>
      <w:r w:rsidR="003A455E" w:rsidRPr="004F0D45">
        <w:lastRenderedPageBreak/>
        <w:t xml:space="preserve">configuring </w:t>
      </w:r>
      <w:r w:rsidR="00726A86" w:rsidRPr="004F0D45">
        <w:t xml:space="preserve">a single SBFD </w:t>
      </w:r>
      <w:r w:rsidR="003A455E" w:rsidRPr="004F0D45">
        <w:t>layout</w:t>
      </w:r>
      <w:r w:rsidR="00726A86" w:rsidRPr="004F0D45">
        <w:t xml:space="preserve"> is not sufficient for effective coexistence with neighbouring operators. As a result,</w:t>
      </w:r>
      <w:r w:rsidR="00FA1E01" w:rsidRPr="004F0D45">
        <w:t xml:space="preserve"> it will be beneficial for the network to configure tw</w:t>
      </w:r>
      <w:r w:rsidR="005773BE" w:rsidRPr="004F0D45">
        <w:t>o</w:t>
      </w:r>
      <w:r w:rsidR="00FA1E01" w:rsidRPr="004F0D45">
        <w:t xml:space="preserve"> subband layouts </w:t>
      </w:r>
      <w:r w:rsidR="005773BE" w:rsidRPr="004F0D45">
        <w:t>for SBFD operation</w:t>
      </w:r>
      <w:r w:rsidR="00FA1E01" w:rsidRPr="004F0D45">
        <w:t xml:space="preserve">. The UE can then be indicated where each configured subband layout must be applied. With such a configuration, frequency isolation can be ensured for all slots and the level of interference among neighbouring operators can be reduced. </w:t>
      </w:r>
    </w:p>
    <w:p w14:paraId="3AF0BBE6" w14:textId="28651365" w:rsidR="00BF01D9" w:rsidRPr="004F0D45" w:rsidRDefault="00BF01D9" w:rsidP="00BF01D9">
      <w:pPr>
        <w:jc w:val="center"/>
      </w:pPr>
      <w:r w:rsidRPr="004F0D45">
        <w:rPr>
          <w:noProof/>
        </w:rPr>
        <w:drawing>
          <wp:inline distT="0" distB="0" distL="0" distR="0" wp14:anchorId="7D4AC784" wp14:editId="390113E5">
            <wp:extent cx="2616200" cy="2246007"/>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848" cy="2251714"/>
                    </a:xfrm>
                    <a:prstGeom prst="rect">
                      <a:avLst/>
                    </a:prstGeom>
                    <a:noFill/>
                  </pic:spPr>
                </pic:pic>
              </a:graphicData>
            </a:graphic>
          </wp:inline>
        </w:drawing>
      </w:r>
    </w:p>
    <w:p w14:paraId="48A5D631" w14:textId="0E60D0D4" w:rsidR="003A1147" w:rsidRPr="004F0D45" w:rsidRDefault="003A1147" w:rsidP="003A1147">
      <w:pPr>
        <w:spacing w:after="0"/>
        <w:contextualSpacing/>
        <w:jc w:val="center"/>
        <w:rPr>
          <w:lang w:val="en-US" w:eastAsia="ko-KR"/>
        </w:rPr>
      </w:pPr>
      <w:bookmarkStart w:id="3" w:name="_Ref134105890"/>
      <w:r w:rsidRPr="004F0D45">
        <w:rPr>
          <w:bdr w:val="none" w:sz="0" w:space="0" w:color="auto" w:frame="1"/>
        </w:rPr>
        <w:t xml:space="preserve">Figure </w:t>
      </w:r>
      <w:r w:rsidRPr="004F0D45">
        <w:fldChar w:fldCharType="begin"/>
      </w:r>
      <w:r w:rsidRPr="004F0D45">
        <w:instrText xml:space="preserve"> SEQ Figure \* ARABIC </w:instrText>
      </w:r>
      <w:r w:rsidRPr="004F0D45">
        <w:fldChar w:fldCharType="separate"/>
      </w:r>
      <w:r w:rsidR="00F230AB" w:rsidRPr="004F0D45">
        <w:rPr>
          <w:noProof/>
        </w:rPr>
        <w:t>1</w:t>
      </w:r>
      <w:r w:rsidRPr="004F0D45">
        <w:rPr>
          <w:noProof/>
        </w:rPr>
        <w:fldChar w:fldCharType="end"/>
      </w:r>
      <w:bookmarkEnd w:id="3"/>
      <w:r w:rsidRPr="004F0D45">
        <w:rPr>
          <w:bdr w:val="none" w:sz="0" w:space="0" w:color="auto" w:frame="1"/>
        </w:rPr>
        <w:t>: SBFD layout configuration</w:t>
      </w:r>
    </w:p>
    <w:p w14:paraId="347738C6" w14:textId="296A48BC" w:rsidR="00905CE1" w:rsidRPr="004F0D45" w:rsidRDefault="00905CE1" w:rsidP="003A1147">
      <w:pPr>
        <w:spacing w:after="0"/>
        <w:jc w:val="both"/>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F230AB" w:rsidRPr="004F0D45">
        <w:rPr>
          <w:b/>
          <w:bCs/>
          <w:i/>
          <w:iCs/>
          <w:noProof/>
        </w:rPr>
        <w:t>1</w:t>
      </w:r>
      <w:r w:rsidRPr="004F0D45">
        <w:rPr>
          <w:b/>
          <w:bCs/>
          <w:i/>
          <w:iCs/>
        </w:rPr>
        <w:fldChar w:fldCharType="end"/>
      </w:r>
      <w:r w:rsidRPr="004F0D45">
        <w:t xml:space="preserve">: </w:t>
      </w:r>
      <w:bookmarkStart w:id="4" w:name="_Ref134108220"/>
      <w:r w:rsidRPr="004F0D45">
        <w:rPr>
          <w:b/>
          <w:bCs/>
          <w:i/>
          <w:iCs/>
        </w:rPr>
        <w:t xml:space="preserve">Configuring a single SBFD </w:t>
      </w:r>
      <w:r w:rsidR="006169FE" w:rsidRPr="004F0D45">
        <w:rPr>
          <w:b/>
          <w:bCs/>
          <w:i/>
          <w:iCs/>
        </w:rPr>
        <w:t xml:space="preserve">subband </w:t>
      </w:r>
      <w:r w:rsidRPr="004F0D45">
        <w:rPr>
          <w:b/>
          <w:bCs/>
          <w:i/>
          <w:iCs/>
        </w:rPr>
        <w:t xml:space="preserve">layout does not provide </w:t>
      </w:r>
      <w:r w:rsidR="008C2FAA" w:rsidRPr="004F0D45">
        <w:rPr>
          <w:b/>
          <w:bCs/>
          <w:i/>
          <w:iCs/>
        </w:rPr>
        <w:t>protection against interference from neighbouring gNBs on all slots</w:t>
      </w:r>
      <w:bookmarkEnd w:id="4"/>
      <w:r w:rsidR="008C2FAA" w:rsidRPr="004F0D45">
        <w:t xml:space="preserve"> </w:t>
      </w:r>
    </w:p>
    <w:p w14:paraId="724A06BC" w14:textId="4B8C4C59" w:rsidR="00C25C92" w:rsidRPr="004F0D45" w:rsidRDefault="00C25C92" w:rsidP="003A1147">
      <w:pPr>
        <w:spacing w:after="0"/>
        <w:jc w:val="both"/>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1</w:t>
      </w:r>
      <w:r w:rsidRPr="004F0D45">
        <w:rPr>
          <w:b/>
          <w:bCs/>
          <w:i/>
          <w:iCs/>
        </w:rPr>
        <w:fldChar w:fldCharType="end"/>
      </w:r>
      <w:r w:rsidRPr="004F0D45">
        <w:rPr>
          <w:rFonts w:cstheme="minorHAnsi"/>
          <w:b/>
          <w:bCs/>
          <w:i/>
          <w:iCs/>
        </w:rPr>
        <w:t xml:space="preserve">: </w:t>
      </w:r>
      <w:bookmarkStart w:id="5" w:name="_Ref134110220"/>
      <w:r w:rsidRPr="004F0D45">
        <w:rPr>
          <w:rFonts w:cstheme="minorHAnsi"/>
          <w:b/>
          <w:bCs/>
          <w:i/>
          <w:iCs/>
        </w:rPr>
        <w:t>RAN1 to study the benefits of configuring two SBFD</w:t>
      </w:r>
      <w:r w:rsidR="00130313" w:rsidRPr="004F0D45">
        <w:rPr>
          <w:rFonts w:cstheme="minorHAnsi"/>
          <w:b/>
          <w:bCs/>
          <w:i/>
          <w:iCs/>
        </w:rPr>
        <w:t xml:space="preserve"> subband</w:t>
      </w:r>
      <w:r w:rsidRPr="004F0D45">
        <w:rPr>
          <w:rFonts w:cstheme="minorHAnsi"/>
          <w:b/>
          <w:bCs/>
          <w:i/>
          <w:iCs/>
        </w:rPr>
        <w:t xml:space="preserve"> layouts for SBFD operation</w:t>
      </w:r>
      <w:bookmarkEnd w:id="5"/>
      <w:r w:rsidRPr="004F0D45">
        <w:rPr>
          <w:rFonts w:cstheme="minorHAnsi"/>
          <w:b/>
          <w:bCs/>
          <w:i/>
          <w:iCs/>
        </w:rPr>
        <w:t xml:space="preserve"> </w:t>
      </w:r>
    </w:p>
    <w:p w14:paraId="1B301C66" w14:textId="507CD34B" w:rsidR="00834FA2" w:rsidRPr="004F0D45" w:rsidRDefault="00834FA2" w:rsidP="005D664D">
      <w:pPr>
        <w:pStyle w:val="Heading3"/>
        <w:jc w:val="both"/>
      </w:pPr>
      <w:r w:rsidRPr="004F0D45">
        <w:t>Frequency domain</w:t>
      </w:r>
      <w:r w:rsidR="00B17E8D" w:rsidRPr="004F0D45">
        <w:t xml:space="preserve"> configuration</w:t>
      </w:r>
    </w:p>
    <w:p w14:paraId="1B2EF2BB" w14:textId="412E9618" w:rsidR="00320223" w:rsidRPr="004F0D45" w:rsidRDefault="003671EE" w:rsidP="00320223">
      <w:pPr>
        <w:spacing w:before="120" w:after="0"/>
        <w:jc w:val="both"/>
        <w:rPr>
          <w:bdr w:val="none" w:sz="0" w:space="0" w:color="auto" w:frame="1"/>
        </w:rPr>
      </w:pPr>
      <w:r w:rsidRPr="004F0D45">
        <w:rPr>
          <w:bdr w:val="none" w:sz="0" w:space="0" w:color="auto" w:frame="1"/>
        </w:rPr>
        <w:t>In previous RAN1 meeting</w:t>
      </w:r>
      <w:r w:rsidR="00E618B7" w:rsidRPr="004F0D45">
        <w:rPr>
          <w:bdr w:val="none" w:sz="0" w:space="0" w:color="auto" w:frame="1"/>
        </w:rPr>
        <w:t>s</w:t>
      </w:r>
      <w:r w:rsidRPr="004F0D45">
        <w:rPr>
          <w:bdr w:val="none" w:sz="0" w:space="0" w:color="auto" w:frame="1"/>
        </w:rPr>
        <w:t xml:space="preserve"> it was agreed to study semi-static configuration of SBFD frequency location, by </w:t>
      </w:r>
      <w:r w:rsidR="006E3A7C" w:rsidRPr="004F0D45">
        <w:rPr>
          <w:bdr w:val="none" w:sz="0" w:space="0" w:color="auto" w:frame="1"/>
        </w:rPr>
        <w:t xml:space="preserve">explicitly </w:t>
      </w:r>
      <w:r w:rsidRPr="004F0D45">
        <w:rPr>
          <w:bdr w:val="none" w:sz="0" w:space="0" w:color="auto" w:frame="1"/>
        </w:rPr>
        <w:t xml:space="preserve">indicating at least the UL subband(s), specifying their starting CRB(s) and RB length(s). </w:t>
      </w:r>
      <w:r w:rsidR="00320223" w:rsidRPr="004F0D45">
        <w:rPr>
          <w:bdr w:val="none" w:sz="0" w:space="0" w:color="auto" w:frame="1"/>
        </w:rPr>
        <w:t>In our opinion, the SBFD frequency location can be broadcasted as part of the SIB. Dynamic indication of the SBFD frequency location could only be a pragmatic option where the alignment with other networks is not required and the traffic can vary between being uplink heavy and downlink heavy.</w:t>
      </w:r>
    </w:p>
    <w:p w14:paraId="7F1E7EE4" w14:textId="06104F46" w:rsidR="00CD3FBF" w:rsidRPr="004F0D45" w:rsidRDefault="00824D88" w:rsidP="001A05B9">
      <w:pPr>
        <w:spacing w:before="120" w:after="0"/>
        <w:jc w:val="both"/>
        <w:rPr>
          <w:bdr w:val="none" w:sz="0" w:space="0" w:color="auto" w:frame="1"/>
        </w:rPr>
      </w:pPr>
      <w:r w:rsidRPr="004F0D45">
        <w:rPr>
          <w:bdr w:val="none" w:sz="0" w:space="0" w:color="auto" w:frame="1"/>
        </w:rPr>
        <w:t xml:space="preserve">In addition to the explicit knowledge of the UL subband, explicit configuration </w:t>
      </w:r>
      <w:r w:rsidR="00B270F3" w:rsidRPr="004F0D45">
        <w:rPr>
          <w:bdr w:val="none" w:sz="0" w:space="0" w:color="auto" w:frame="1"/>
        </w:rPr>
        <w:t xml:space="preserve">or </w:t>
      </w:r>
      <w:r w:rsidRPr="004F0D45">
        <w:rPr>
          <w:bdr w:val="none" w:sz="0" w:space="0" w:color="auto" w:frame="1"/>
        </w:rPr>
        <w:t xml:space="preserve">indication of either the DL subband or guard band is required. In our opinion, explicit knowledge of UL and DL subbands can allow adaptive and efficient frequency domain resource allocations and can be obtained from the SBFD </w:t>
      </w:r>
      <w:r w:rsidR="001C29A1" w:rsidRPr="004F0D45">
        <w:rPr>
          <w:bdr w:val="none" w:sz="0" w:space="0" w:color="auto" w:frame="1"/>
        </w:rPr>
        <w:t xml:space="preserve">configuration. </w:t>
      </w:r>
      <w:r w:rsidR="00B270F3" w:rsidRPr="004F0D45">
        <w:rPr>
          <w:bdr w:val="none" w:sz="0" w:space="0" w:color="auto" w:frame="1"/>
        </w:rPr>
        <w:t>If knowledge of t</w:t>
      </w:r>
      <w:r w:rsidR="001C29A1" w:rsidRPr="004F0D45">
        <w:rPr>
          <w:bdr w:val="none" w:sz="0" w:space="0" w:color="auto" w:frame="1"/>
        </w:rPr>
        <w:t xml:space="preserve">he guard band(s) </w:t>
      </w:r>
      <w:r w:rsidR="00B270F3" w:rsidRPr="004F0D45">
        <w:rPr>
          <w:bdr w:val="none" w:sz="0" w:space="0" w:color="auto" w:frame="1"/>
        </w:rPr>
        <w:t xml:space="preserve">is required, it </w:t>
      </w:r>
      <w:r w:rsidR="001C29A1" w:rsidRPr="004F0D45">
        <w:rPr>
          <w:bdr w:val="none" w:sz="0" w:space="0" w:color="auto" w:frame="1"/>
        </w:rPr>
        <w:t xml:space="preserve">can be implicitly determined as any RBs that is not configured or indicated as DL or UL subband. </w:t>
      </w:r>
    </w:p>
    <w:p w14:paraId="7D0A7E5A" w14:textId="58AFBA90" w:rsidR="0062669B" w:rsidRPr="004F0D45" w:rsidRDefault="0062669B" w:rsidP="00834FA2">
      <w:pPr>
        <w:spacing w:before="120" w:after="0"/>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2</w:t>
      </w:r>
      <w:r w:rsidRPr="004F0D45">
        <w:rPr>
          <w:b/>
          <w:bCs/>
          <w:i/>
          <w:iCs/>
        </w:rPr>
        <w:fldChar w:fldCharType="end"/>
      </w:r>
      <w:r w:rsidRPr="004F0D45">
        <w:rPr>
          <w:rFonts w:cstheme="minorHAnsi"/>
          <w:b/>
          <w:bCs/>
          <w:i/>
          <w:iCs/>
        </w:rPr>
        <w:t xml:space="preserve">: </w:t>
      </w:r>
      <w:bookmarkStart w:id="6" w:name="_Ref131684498"/>
      <w:r w:rsidRPr="004F0D45">
        <w:rPr>
          <w:b/>
          <w:bCs/>
          <w:i/>
          <w:iCs/>
          <w:bdr w:val="none" w:sz="0" w:space="0" w:color="auto" w:frame="1"/>
        </w:rPr>
        <w:t>Frequency domain configuration is broadcasted as part of SIB, listing DL and UL subbands, specifying their starting CRB(s) and RB length(s).</w:t>
      </w:r>
      <w:bookmarkEnd w:id="6"/>
    </w:p>
    <w:p w14:paraId="42CBD883" w14:textId="0E8D199E" w:rsidR="00A83DA4" w:rsidRPr="004F0D45" w:rsidRDefault="00A83DA4" w:rsidP="00834FA2">
      <w:pPr>
        <w:spacing w:before="120" w:after="0"/>
        <w:jc w:val="both"/>
        <w:rPr>
          <w:b/>
          <w:bCs/>
          <w:i/>
          <w:iCs/>
          <w:bdr w:val="none" w:sz="0" w:space="0" w:color="auto" w:frame="1"/>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3</w:t>
      </w:r>
      <w:r w:rsidRPr="004F0D45">
        <w:rPr>
          <w:b/>
          <w:bCs/>
          <w:i/>
          <w:iCs/>
        </w:rPr>
        <w:fldChar w:fldCharType="end"/>
      </w:r>
      <w:r w:rsidRPr="004F0D45">
        <w:rPr>
          <w:rFonts w:cstheme="minorHAnsi"/>
          <w:b/>
          <w:bCs/>
          <w:i/>
          <w:iCs/>
        </w:rPr>
        <w:t xml:space="preserve">: </w:t>
      </w:r>
      <w:bookmarkStart w:id="7" w:name="_Ref131674117"/>
      <w:r w:rsidRPr="004F0D45">
        <w:rPr>
          <w:b/>
          <w:bCs/>
          <w:i/>
          <w:iCs/>
          <w:bdr w:val="none" w:sz="0" w:space="0" w:color="auto" w:frame="1"/>
        </w:rPr>
        <w:t xml:space="preserve">UL and DL subbands are explicitly configured or indicated to the UE. </w:t>
      </w:r>
      <w:r w:rsidR="00E20C5F" w:rsidRPr="004F0D45">
        <w:rPr>
          <w:b/>
          <w:bCs/>
          <w:i/>
          <w:iCs/>
          <w:bdr w:val="none" w:sz="0" w:space="0" w:color="auto" w:frame="1"/>
        </w:rPr>
        <w:t>If knowledge of the g</w:t>
      </w:r>
      <w:r w:rsidRPr="004F0D45">
        <w:rPr>
          <w:b/>
          <w:bCs/>
          <w:i/>
          <w:iCs/>
          <w:bdr w:val="none" w:sz="0" w:space="0" w:color="auto" w:frame="1"/>
        </w:rPr>
        <w:t xml:space="preserve">uard band </w:t>
      </w:r>
      <w:r w:rsidR="00E20C5F" w:rsidRPr="004F0D45">
        <w:rPr>
          <w:b/>
          <w:bCs/>
          <w:i/>
          <w:iCs/>
          <w:bdr w:val="none" w:sz="0" w:space="0" w:color="auto" w:frame="1"/>
        </w:rPr>
        <w:t xml:space="preserve">is needed at the UE it </w:t>
      </w:r>
      <w:r w:rsidRPr="004F0D45">
        <w:rPr>
          <w:b/>
          <w:bCs/>
          <w:i/>
          <w:iCs/>
          <w:bdr w:val="none" w:sz="0" w:space="0" w:color="auto" w:frame="1"/>
        </w:rPr>
        <w:t>can be implicitly determined as RBs not configured as</w:t>
      </w:r>
      <w:r w:rsidR="00FD7FFD" w:rsidRPr="004F0D45">
        <w:rPr>
          <w:b/>
          <w:bCs/>
          <w:i/>
          <w:iCs/>
          <w:bdr w:val="none" w:sz="0" w:space="0" w:color="auto" w:frame="1"/>
        </w:rPr>
        <w:t xml:space="preserve"> part of</w:t>
      </w:r>
      <w:r w:rsidRPr="004F0D45">
        <w:rPr>
          <w:b/>
          <w:bCs/>
          <w:i/>
          <w:iCs/>
          <w:bdr w:val="none" w:sz="0" w:space="0" w:color="auto" w:frame="1"/>
        </w:rPr>
        <w:t xml:space="preserve"> DL or UL subband.</w:t>
      </w:r>
      <w:bookmarkEnd w:id="7"/>
      <w:r w:rsidRPr="004F0D45">
        <w:rPr>
          <w:b/>
          <w:bCs/>
          <w:i/>
          <w:iCs/>
          <w:bdr w:val="none" w:sz="0" w:space="0" w:color="auto" w:frame="1"/>
        </w:rPr>
        <w:t xml:space="preserve"> </w:t>
      </w:r>
    </w:p>
    <w:p w14:paraId="340225BC" w14:textId="7BADDDFD" w:rsidR="00834FA2" w:rsidRPr="004F0D45" w:rsidRDefault="00834FA2" w:rsidP="005D664D">
      <w:pPr>
        <w:pStyle w:val="Heading3"/>
        <w:jc w:val="both"/>
      </w:pPr>
      <w:r w:rsidRPr="004F0D45">
        <w:t>Time domain</w:t>
      </w:r>
      <w:r w:rsidR="00B17E8D" w:rsidRPr="004F0D45">
        <w:t xml:space="preserve"> configuration</w:t>
      </w:r>
    </w:p>
    <w:p w14:paraId="694CD98D" w14:textId="39B8CAD6" w:rsidR="002B5DF0" w:rsidRPr="004F0D45" w:rsidRDefault="00AE3EE4" w:rsidP="002B5DF0">
      <w:pPr>
        <w:spacing w:before="120"/>
        <w:jc w:val="both"/>
        <w:rPr>
          <w:lang w:val="en-US" w:eastAsia="ko-KR"/>
        </w:rPr>
      </w:pPr>
      <w:r w:rsidRPr="004F0D45">
        <w:rPr>
          <w:lang w:val="en-US" w:eastAsia="ko-KR"/>
        </w:rPr>
        <w:t>In previous RAN1 meetings semi-static configuration of SBFD time location</w:t>
      </w:r>
      <w:r w:rsidR="00310497" w:rsidRPr="004F0D45">
        <w:rPr>
          <w:lang w:val="en-US" w:eastAsia="ko-KR"/>
        </w:rPr>
        <w:t xml:space="preserve"> was agreed as </w:t>
      </w:r>
      <w:r w:rsidRPr="004F0D45">
        <w:rPr>
          <w:lang w:val="en-US" w:eastAsia="ko-KR"/>
        </w:rPr>
        <w:t xml:space="preserve">baseline. However, the UL/DL traffic load within a cell can vary </w:t>
      </w:r>
      <w:r w:rsidR="004905F6" w:rsidRPr="004F0D45">
        <w:rPr>
          <w:lang w:val="en-US" w:eastAsia="ko-KR"/>
        </w:rPr>
        <w:t xml:space="preserve">among different UEs in a cell. For instance, a UE with DL </w:t>
      </w:r>
      <w:r w:rsidR="00347FCA" w:rsidRPr="004F0D45">
        <w:rPr>
          <w:lang w:val="en-US" w:eastAsia="ko-KR"/>
        </w:rPr>
        <w:t xml:space="preserve">heavy </w:t>
      </w:r>
      <w:r w:rsidR="004905F6" w:rsidRPr="004F0D45">
        <w:rPr>
          <w:lang w:val="en-US" w:eastAsia="ko-KR"/>
        </w:rPr>
        <w:t xml:space="preserve">traffic will require fewer UL resources compared to a UE with UL </w:t>
      </w:r>
      <w:r w:rsidR="0068076E" w:rsidRPr="004F0D45">
        <w:rPr>
          <w:lang w:val="en-US" w:eastAsia="ko-KR"/>
        </w:rPr>
        <w:t>heavy</w:t>
      </w:r>
      <w:r w:rsidR="004905F6" w:rsidRPr="004F0D45">
        <w:rPr>
          <w:lang w:val="en-US" w:eastAsia="ko-KR"/>
        </w:rPr>
        <w:t xml:space="preserve"> traffic. In this case, semi-static configuration of SBFD time</w:t>
      </w:r>
      <w:r w:rsidR="002B5DF0" w:rsidRPr="004F0D45">
        <w:rPr>
          <w:lang w:val="en-US" w:eastAsia="ko-KR"/>
        </w:rPr>
        <w:t xml:space="preserve"> location limits the flexibility to adapt to transmission requirements of specific UEs within a cell. Therefore, dynamic configuration/indication of subband time location is needed to allow flexible adaptation to UE traffic requirements. </w:t>
      </w:r>
    </w:p>
    <w:p w14:paraId="68E4E40A" w14:textId="14A3CC5D" w:rsidR="00632F70" w:rsidRPr="004F0D45" w:rsidRDefault="002B5DF0" w:rsidP="001A05B9">
      <w:pPr>
        <w:spacing w:before="120"/>
        <w:jc w:val="both"/>
        <w:rPr>
          <w:bdr w:val="none" w:sz="0" w:space="0" w:color="auto" w:frame="1"/>
        </w:rPr>
      </w:pPr>
      <w:r w:rsidRPr="004F0D45">
        <w:rPr>
          <w:bdr w:val="none" w:sz="0" w:space="0" w:color="auto" w:frame="1"/>
        </w:rPr>
        <w:t xml:space="preserve">For example, indication of ‘flexible’ symbols is necessary for directional collision handling where DL-UL switching occurs. These switching points occur at different symbols for different subbands. This motivates per-subband, per-symbol indication of RB-symbol regions reserved for DL-UL switching. These reserved regions have flexible link direction and only allow dynamic scheduling, which corresponds to ‘flexible’ indication by group common dynamic SFI signalling. </w:t>
      </w:r>
    </w:p>
    <w:p w14:paraId="3E723BE9" w14:textId="77777777" w:rsidR="007A6B10" w:rsidRPr="004F0D45" w:rsidRDefault="007A6B10" w:rsidP="007A6B10">
      <w:pPr>
        <w:spacing w:before="120"/>
        <w:jc w:val="both"/>
        <w:rPr>
          <w:bdr w:val="none" w:sz="0" w:space="0" w:color="auto" w:frame="1"/>
        </w:rPr>
      </w:pPr>
      <w:r w:rsidRPr="004F0D45">
        <w:rPr>
          <w:bdr w:val="none" w:sz="0" w:space="0" w:color="auto" w:frame="1"/>
        </w:rPr>
        <w:t xml:space="preserve">Therefore, at these DL-UL switching points it should be possible for dynamic scheduling to override the semi-static SBFD partition layout applied in the network. </w:t>
      </w:r>
    </w:p>
    <w:p w14:paraId="6AE3C10F" w14:textId="77777777" w:rsidR="007A6B10" w:rsidRPr="004F0D45" w:rsidRDefault="007A6B10" w:rsidP="001A05B9">
      <w:pPr>
        <w:spacing w:before="120"/>
        <w:jc w:val="both"/>
        <w:rPr>
          <w:lang w:eastAsia="ko-KR"/>
        </w:rPr>
      </w:pPr>
    </w:p>
    <w:p w14:paraId="05F7DCBA" w14:textId="10DB766F" w:rsidR="00632F70" w:rsidRPr="004F0D45" w:rsidRDefault="00632F70" w:rsidP="00437229">
      <w:pPr>
        <w:spacing w:after="0"/>
        <w:contextualSpacing/>
        <w:jc w:val="center"/>
        <w:rPr>
          <w:lang w:val="en-US" w:eastAsia="ko-KR"/>
        </w:rPr>
      </w:pPr>
      <w:r w:rsidRPr="004F0D45">
        <w:rPr>
          <w:noProof/>
        </w:rPr>
        <w:lastRenderedPageBreak/>
        <w:drawing>
          <wp:inline distT="0" distB="0" distL="0" distR="0" wp14:anchorId="4E5B2FE7" wp14:editId="43C148D2">
            <wp:extent cx="4406636" cy="1875301"/>
            <wp:effectExtent l="19050" t="19050" r="13335" b="1079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57407" cy="1896907"/>
                    </a:xfrm>
                    <a:prstGeom prst="rect">
                      <a:avLst/>
                    </a:prstGeom>
                    <a:noFill/>
                    <a:ln>
                      <a:solidFill>
                        <a:schemeClr val="tx1"/>
                      </a:solidFill>
                    </a:ln>
                  </pic:spPr>
                </pic:pic>
              </a:graphicData>
            </a:graphic>
          </wp:inline>
        </w:drawing>
      </w:r>
    </w:p>
    <w:p w14:paraId="20B6D494" w14:textId="34C2BCE2" w:rsidR="00E907A0" w:rsidRPr="004F0D45" w:rsidRDefault="00E907A0" w:rsidP="00437229">
      <w:pPr>
        <w:spacing w:after="0"/>
        <w:contextualSpacing/>
        <w:jc w:val="center"/>
        <w:rPr>
          <w:lang w:val="en-US" w:eastAsia="ko-KR"/>
        </w:rPr>
      </w:pPr>
      <w:bookmarkStart w:id="8" w:name="_Ref131670535"/>
      <w:r w:rsidRPr="004F0D45">
        <w:rPr>
          <w:bdr w:val="none" w:sz="0" w:space="0" w:color="auto" w:frame="1"/>
        </w:rPr>
        <w:t xml:space="preserve">Figure </w:t>
      </w:r>
      <w:r w:rsidRPr="004F0D45">
        <w:fldChar w:fldCharType="begin"/>
      </w:r>
      <w:r w:rsidRPr="004F0D45">
        <w:instrText xml:space="preserve"> SEQ Figure \* ARABIC </w:instrText>
      </w:r>
      <w:r w:rsidRPr="004F0D45">
        <w:fldChar w:fldCharType="separate"/>
      </w:r>
      <w:r w:rsidR="00F230AB" w:rsidRPr="004F0D45">
        <w:rPr>
          <w:noProof/>
        </w:rPr>
        <w:t>2</w:t>
      </w:r>
      <w:r w:rsidRPr="004F0D45">
        <w:rPr>
          <w:noProof/>
        </w:rPr>
        <w:fldChar w:fldCharType="end"/>
      </w:r>
      <w:bookmarkEnd w:id="8"/>
      <w:r w:rsidRPr="004F0D45">
        <w:rPr>
          <w:bdr w:val="none" w:sz="0" w:space="0" w:color="auto" w:frame="1"/>
        </w:rPr>
        <w:t>: Symbol-level SBFD layout configuration</w:t>
      </w:r>
    </w:p>
    <w:p w14:paraId="4F7CB545" w14:textId="75A87A56" w:rsidR="004905F6" w:rsidRPr="004F0D45" w:rsidRDefault="00B366B2" w:rsidP="001A05B9">
      <w:pPr>
        <w:spacing w:before="120"/>
        <w:jc w:val="both"/>
        <w:rPr>
          <w:lang w:val="en-US" w:eastAsia="ko-KR"/>
        </w:rPr>
      </w:pPr>
      <w:bookmarkStart w:id="9" w:name="_Hlk127433498"/>
      <w:r w:rsidRPr="004F0D45">
        <w:rPr>
          <w:bdr w:val="none" w:sz="0" w:space="0" w:color="auto" w:frame="1"/>
        </w:rPr>
        <w:t xml:space="preserve">As indicated </w:t>
      </w:r>
      <w:r w:rsidR="007B2A51" w:rsidRPr="004F0D45">
        <w:rPr>
          <w:bdr w:val="none" w:sz="0" w:space="0" w:color="auto" w:frame="1"/>
        </w:rPr>
        <w:t xml:space="preserve">in </w:t>
      </w:r>
      <w:r w:rsidR="007B2A51" w:rsidRPr="004F0D45">
        <w:rPr>
          <w:bdr w:val="none" w:sz="0" w:space="0" w:color="auto" w:frame="1"/>
        </w:rPr>
        <w:fldChar w:fldCharType="begin"/>
      </w:r>
      <w:r w:rsidR="007B2A51" w:rsidRPr="004F0D45">
        <w:rPr>
          <w:bdr w:val="none" w:sz="0" w:space="0" w:color="auto" w:frame="1"/>
        </w:rPr>
        <w:instrText xml:space="preserve"> REF _Ref131670535 \h </w:instrText>
      </w:r>
      <w:r w:rsidR="004F0D45">
        <w:rPr>
          <w:bdr w:val="none" w:sz="0" w:space="0" w:color="auto" w:frame="1"/>
        </w:rPr>
        <w:instrText xml:space="preserve"> \* MERGEFORMAT </w:instrText>
      </w:r>
      <w:r w:rsidR="007B2A51" w:rsidRPr="004F0D45">
        <w:rPr>
          <w:bdr w:val="none" w:sz="0" w:space="0" w:color="auto" w:frame="1"/>
        </w:rPr>
      </w:r>
      <w:r w:rsidR="007B2A51" w:rsidRPr="004F0D45">
        <w:rPr>
          <w:bdr w:val="none" w:sz="0" w:space="0" w:color="auto" w:frame="1"/>
        </w:rPr>
        <w:fldChar w:fldCharType="separate"/>
      </w:r>
      <w:r w:rsidR="00F230AB" w:rsidRPr="004F0D45">
        <w:rPr>
          <w:bdr w:val="none" w:sz="0" w:space="0" w:color="auto" w:frame="1"/>
        </w:rPr>
        <w:t xml:space="preserve">Figure </w:t>
      </w:r>
      <w:r w:rsidR="00F230AB" w:rsidRPr="004F0D45">
        <w:rPr>
          <w:noProof/>
        </w:rPr>
        <w:t>2</w:t>
      </w:r>
      <w:r w:rsidR="007B2A51" w:rsidRPr="004F0D45">
        <w:rPr>
          <w:bdr w:val="none" w:sz="0" w:space="0" w:color="auto" w:frame="1"/>
        </w:rPr>
        <w:fldChar w:fldCharType="end"/>
      </w:r>
      <w:r w:rsidRPr="004F0D45">
        <w:rPr>
          <w:bdr w:val="none" w:sz="0" w:space="0" w:color="auto" w:frame="1"/>
        </w:rPr>
        <w:t xml:space="preserve">, dynamic scheduling could have the option to treat ‘DAD’ symbols as unpartitioned DL symbol (‘DL WB’ in the figure), or to transmit UL over the UL subband (‘UL SB’), or to receive DL over the DL subband (‘DL SB’), whereas for semi-static scheduling only the DL subbands are available for reception while any transmission over the UL subband is deprioritized.  </w:t>
      </w:r>
      <w:r w:rsidR="00E44FDB" w:rsidRPr="004F0D45">
        <w:rPr>
          <w:bdr w:val="none" w:sz="0" w:space="0" w:color="auto" w:frame="1"/>
        </w:rPr>
        <w:t xml:space="preserve"> </w:t>
      </w:r>
      <w:r w:rsidR="00EB0FBE" w:rsidRPr="004F0D45">
        <w:rPr>
          <w:bdr w:val="none" w:sz="0" w:space="0" w:color="auto" w:frame="1"/>
        </w:rPr>
        <w:t xml:space="preserve"> </w:t>
      </w:r>
      <w:bookmarkEnd w:id="9"/>
      <w:r w:rsidR="00766AF0" w:rsidRPr="004F0D45">
        <w:rPr>
          <w:lang w:val="en-US" w:eastAsia="ko-KR"/>
        </w:rPr>
        <w:t xml:space="preserve"> </w:t>
      </w:r>
    </w:p>
    <w:p w14:paraId="68CCF8AA" w14:textId="0E6C930D" w:rsidR="00EF3017" w:rsidRPr="004F0D45" w:rsidRDefault="00EF3017" w:rsidP="00602A48">
      <w:pPr>
        <w:spacing w:after="0"/>
        <w:contextualSpacing/>
        <w:jc w:val="both"/>
        <w:rPr>
          <w:bdr w:val="none" w:sz="0" w:space="0" w:color="auto" w:frame="1"/>
        </w:rPr>
      </w:pPr>
      <w:r w:rsidRPr="004F0D45">
        <w:rPr>
          <w:bdr w:val="none" w:sz="0" w:space="0" w:color="auto" w:frame="1"/>
        </w:rPr>
        <w:t>From the above rationale, the following choices would ensue for an enhanced behaviour:</w:t>
      </w:r>
    </w:p>
    <w:p w14:paraId="7CB465C1" w14:textId="46FF4BCE" w:rsidR="00EF3017" w:rsidRPr="004F0D45" w:rsidRDefault="00EF3017">
      <w:pPr>
        <w:pStyle w:val="ListParagraph"/>
        <w:numPr>
          <w:ilvl w:val="0"/>
          <w:numId w:val="9"/>
        </w:numPr>
        <w:ind w:left="714" w:hanging="357"/>
        <w:jc w:val="both"/>
        <w:rPr>
          <w:sz w:val="20"/>
          <w:szCs w:val="20"/>
          <w:bdr w:val="none" w:sz="0" w:space="0" w:color="auto" w:frame="1"/>
        </w:rPr>
      </w:pPr>
      <w:r w:rsidRPr="004F0D45">
        <w:rPr>
          <w:sz w:val="20"/>
          <w:szCs w:val="20"/>
          <w:bdr w:val="none" w:sz="0" w:space="0" w:color="auto" w:frame="1"/>
        </w:rPr>
        <w:t>UE can be configured with periodic SBFD configuration in time through SIB and dedicated RRC signalling.</w:t>
      </w:r>
    </w:p>
    <w:p w14:paraId="7298C932" w14:textId="66F755B2" w:rsidR="00AE3EE4" w:rsidRPr="004F0D45" w:rsidRDefault="00EF3017">
      <w:pPr>
        <w:pStyle w:val="ListParagraph"/>
        <w:numPr>
          <w:ilvl w:val="0"/>
          <w:numId w:val="9"/>
        </w:numPr>
        <w:ind w:left="714" w:hanging="357"/>
        <w:jc w:val="both"/>
        <w:rPr>
          <w:sz w:val="20"/>
          <w:szCs w:val="20"/>
          <w:bdr w:val="none" w:sz="0" w:space="0" w:color="auto" w:frame="1"/>
        </w:rPr>
      </w:pPr>
      <w:r w:rsidRPr="004F0D45">
        <w:rPr>
          <w:sz w:val="20"/>
          <w:szCs w:val="20"/>
          <w:bdr w:val="none" w:sz="0" w:space="0" w:color="auto" w:frame="1"/>
        </w:rPr>
        <w:t xml:space="preserve">In addition, the SBFD time location can be dynamically indicated by DCI or by SFI group common signalling </w:t>
      </w:r>
    </w:p>
    <w:p w14:paraId="09C26A36" w14:textId="5E925ED2" w:rsidR="00FC23DB" w:rsidRPr="004F0D45" w:rsidRDefault="00FC23DB" w:rsidP="001A05B9">
      <w:pPr>
        <w:spacing w:before="120"/>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4</w:t>
      </w:r>
      <w:r w:rsidRPr="004F0D45">
        <w:rPr>
          <w:b/>
          <w:bCs/>
          <w:i/>
          <w:iCs/>
        </w:rPr>
        <w:fldChar w:fldCharType="end"/>
      </w:r>
      <w:r w:rsidRPr="004F0D45">
        <w:rPr>
          <w:rFonts w:cstheme="minorHAnsi"/>
          <w:b/>
          <w:bCs/>
          <w:i/>
          <w:iCs/>
        </w:rPr>
        <w:t xml:space="preserve">: </w:t>
      </w:r>
      <w:bookmarkStart w:id="10" w:name="_Ref131674144"/>
      <w:r w:rsidRPr="004F0D45">
        <w:rPr>
          <w:b/>
          <w:bCs/>
          <w:i/>
          <w:iCs/>
        </w:rPr>
        <w:t>RAN1 to study dynamic indication of SBFD time location in addition to semi-static configuration.</w:t>
      </w:r>
      <w:bookmarkEnd w:id="10"/>
      <w:r w:rsidRPr="004F0D45">
        <w:rPr>
          <w:b/>
          <w:bCs/>
          <w:i/>
          <w:iCs/>
        </w:rPr>
        <w:t xml:space="preserve">  </w:t>
      </w:r>
    </w:p>
    <w:p w14:paraId="7E24F0C9" w14:textId="33FDB2B8" w:rsidR="001A05B9" w:rsidRPr="004F0D45" w:rsidRDefault="005F41F0" w:rsidP="001A05B9">
      <w:pPr>
        <w:spacing w:before="120"/>
        <w:jc w:val="both"/>
      </w:pPr>
      <w:r w:rsidRPr="004F0D45">
        <w:t>To enable more flexibility, t</w:t>
      </w:r>
      <w:r w:rsidR="001A05B9" w:rsidRPr="004F0D45">
        <w:t>he time-domain configuration of the SBFD layout should support two back-to-back periodic patterns, to accommodate different</w:t>
      </w:r>
      <w:r w:rsidRPr="004F0D45">
        <w:t xml:space="preserve"> SBFD</w:t>
      </w:r>
      <w:r w:rsidR="001A05B9" w:rsidRPr="004F0D45">
        <w:t xml:space="preserve"> layout in slots containing SSB.  </w:t>
      </w:r>
    </w:p>
    <w:p w14:paraId="6A36445B" w14:textId="1461EAEC" w:rsidR="001A05B9" w:rsidRPr="004F0D45" w:rsidRDefault="001A05B9" w:rsidP="001A05B9">
      <w:pPr>
        <w:spacing w:before="120"/>
        <w:jc w:val="both"/>
        <w:rPr>
          <w:b/>
          <w:bCs/>
          <w:i/>
          <w:iCs/>
          <w:strike/>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5</w:t>
      </w:r>
      <w:r w:rsidRPr="004F0D45">
        <w:rPr>
          <w:b/>
          <w:bCs/>
          <w:i/>
          <w:iCs/>
        </w:rPr>
        <w:fldChar w:fldCharType="end"/>
      </w:r>
      <w:r w:rsidRPr="004F0D45">
        <w:rPr>
          <w:rFonts w:cstheme="minorHAnsi"/>
          <w:b/>
          <w:bCs/>
          <w:i/>
          <w:iCs/>
        </w:rPr>
        <w:t xml:space="preserve">: </w:t>
      </w:r>
      <w:bookmarkStart w:id="11" w:name="_Ref118382229"/>
      <w:r w:rsidRPr="004F0D45">
        <w:rPr>
          <w:b/>
          <w:bCs/>
          <w:i/>
          <w:iCs/>
        </w:rPr>
        <w:t>The time-domain configuration of the SBFD layout should support two back-to-back periodic patterns, to accommodate different layout in slots containing SSB.</w:t>
      </w:r>
      <w:bookmarkEnd w:id="11"/>
    </w:p>
    <w:p w14:paraId="3EE94248" w14:textId="77777777" w:rsidR="001A05B9" w:rsidRPr="004F0D45" w:rsidRDefault="001A05B9" w:rsidP="001A05B9">
      <w:pPr>
        <w:spacing w:before="120"/>
        <w:jc w:val="both"/>
      </w:pPr>
      <w:r w:rsidRPr="004F0D45">
        <w:t>As the active BWP is switched between wide and narrow bandwidth, the availability of certain subbands may change as well. This may impact on the dedicated TDD configuration of the UE, which can be updated dynamically by using SFI group common signalling. However, the configuration of SBFD layout does not need to change if the frequency location of subbands is specified with respect to CRB#0. With this, SBFD layout in frequency and time can be configured per carrier as part of the serving cell configurations of the UE (as opposed to BWP level), as is the case with TDD-UL-DL-</w:t>
      </w:r>
      <w:proofErr w:type="spellStart"/>
      <w:r w:rsidRPr="004F0D45">
        <w:t>ConfigCommon</w:t>
      </w:r>
      <w:proofErr w:type="spellEnd"/>
      <w:r w:rsidRPr="004F0D45">
        <w:t xml:space="preserve"> and </w:t>
      </w:r>
      <w:r w:rsidRPr="004F0D45">
        <w:rPr>
          <w:i/>
          <w:iCs/>
        </w:rPr>
        <w:t>TDD-UL-DL-</w:t>
      </w:r>
      <w:proofErr w:type="spellStart"/>
      <w:r w:rsidRPr="004F0D45">
        <w:rPr>
          <w:i/>
          <w:iCs/>
        </w:rPr>
        <w:t>ConfigDedicated</w:t>
      </w:r>
      <w:proofErr w:type="spellEnd"/>
      <w:r w:rsidRPr="004F0D45">
        <w:t xml:space="preserve">. This would provide a minimalist solution for SBFD configurations, which ensures consistency over different BWPs.     </w:t>
      </w:r>
    </w:p>
    <w:p w14:paraId="3D7417D1" w14:textId="068A4D5B" w:rsidR="001A05B9" w:rsidRPr="004F0D45" w:rsidRDefault="001A05B9" w:rsidP="001D1F0F">
      <w:pPr>
        <w:spacing w:before="120"/>
        <w:jc w:val="both"/>
        <w:rPr>
          <w:rFonts w:cstheme="minorHAnsi"/>
          <w:b/>
          <w:bCs/>
          <w:i/>
          <w:iCs/>
        </w:rPr>
      </w:pPr>
      <w:bookmarkStart w:id="12" w:name="_Hlk127435774"/>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6</w:t>
      </w:r>
      <w:r w:rsidRPr="004F0D45">
        <w:rPr>
          <w:b/>
          <w:bCs/>
          <w:i/>
          <w:iCs/>
        </w:rPr>
        <w:fldChar w:fldCharType="end"/>
      </w:r>
      <w:r w:rsidRPr="004F0D45">
        <w:rPr>
          <w:rFonts w:cstheme="minorHAnsi"/>
          <w:b/>
          <w:bCs/>
          <w:i/>
          <w:iCs/>
        </w:rPr>
        <w:t xml:space="preserve">: </w:t>
      </w:r>
      <w:bookmarkStart w:id="13" w:name="_Ref118363502"/>
      <w:r w:rsidRPr="004F0D45">
        <w:rPr>
          <w:rFonts w:cstheme="minorHAnsi"/>
          <w:b/>
          <w:bCs/>
          <w:i/>
          <w:iCs/>
        </w:rPr>
        <w:t>SBFD layout in frequency and time is configured per carrier.</w:t>
      </w:r>
      <w:bookmarkEnd w:id="12"/>
      <w:bookmarkEnd w:id="13"/>
    </w:p>
    <w:p w14:paraId="5EAFA0AB" w14:textId="16C71556" w:rsidR="00834FA2" w:rsidRPr="004F0D45" w:rsidRDefault="00834FA2" w:rsidP="00834FA2">
      <w:pPr>
        <w:pStyle w:val="Heading3"/>
        <w:jc w:val="both"/>
      </w:pPr>
      <w:r w:rsidRPr="004F0D45">
        <w:rPr>
          <w:bdr w:val="none" w:sz="0" w:space="0" w:color="auto" w:frame="1"/>
        </w:rPr>
        <w:t xml:space="preserve">Transmission direction indication </w:t>
      </w:r>
      <w:r w:rsidRPr="004F0D45">
        <w:t xml:space="preserve"> </w:t>
      </w:r>
    </w:p>
    <w:p w14:paraId="3C3EF4D2" w14:textId="5B6A3152" w:rsidR="00010709" w:rsidRPr="004F0D45" w:rsidRDefault="00805C3B" w:rsidP="001A05B9">
      <w:pPr>
        <w:jc w:val="both"/>
        <w:rPr>
          <w:rFonts w:eastAsia="Malgun Gothic"/>
        </w:rPr>
      </w:pPr>
      <w:r w:rsidRPr="004F0D45">
        <w:rPr>
          <w:rFonts w:eastAsia="Malgun Gothic"/>
        </w:rPr>
        <w:t xml:space="preserve">For efficient SBFD operation, it is important for RAN1 to study how the transmission direction of each </w:t>
      </w:r>
      <w:r w:rsidR="004C31D2" w:rsidRPr="004F0D45">
        <w:rPr>
          <w:rFonts w:eastAsia="Malgun Gothic"/>
        </w:rPr>
        <w:t>SBFD slot/symbol</w:t>
      </w:r>
      <w:r w:rsidRPr="004F0D45">
        <w:rPr>
          <w:rFonts w:eastAsia="Malgun Gothic"/>
        </w:rPr>
        <w:t xml:space="preserve"> is indicated to the UE.</w:t>
      </w:r>
      <w:r w:rsidR="00944A5C" w:rsidRPr="004F0D45">
        <w:rPr>
          <w:rFonts w:eastAsia="Malgun Gothic"/>
        </w:rPr>
        <w:t xml:space="preserve"> This indication of transmission direction is required since the UE is half duplex, i.e., UE can perform either UL transmission or DL reception on each SBFD slot/symbol.</w:t>
      </w:r>
      <w:r w:rsidRPr="004F0D45">
        <w:rPr>
          <w:rFonts w:eastAsia="Malgun Gothic"/>
        </w:rPr>
        <w:t xml:space="preserve"> </w:t>
      </w:r>
      <w:r w:rsidR="006E0C20" w:rsidRPr="004F0D45">
        <w:rPr>
          <w:rFonts w:eastAsia="Malgun Gothic"/>
        </w:rPr>
        <w:fldChar w:fldCharType="begin"/>
      </w:r>
      <w:r w:rsidR="006E0C20" w:rsidRPr="004F0D45">
        <w:rPr>
          <w:rFonts w:eastAsia="Malgun Gothic"/>
        </w:rPr>
        <w:instrText xml:space="preserve"> REF _Ref131683700 \h </w:instrText>
      </w:r>
      <w:r w:rsidR="004F0D45">
        <w:rPr>
          <w:rFonts w:eastAsia="Malgun Gothic"/>
        </w:rPr>
        <w:instrText xml:space="preserve"> \* MERGEFORMAT </w:instrText>
      </w:r>
      <w:r w:rsidR="006E0C20" w:rsidRPr="004F0D45">
        <w:rPr>
          <w:rFonts w:eastAsia="Malgun Gothic"/>
        </w:rPr>
      </w:r>
      <w:r w:rsidR="006E0C20" w:rsidRPr="004F0D45">
        <w:rPr>
          <w:rFonts w:eastAsia="Malgun Gothic"/>
        </w:rPr>
        <w:fldChar w:fldCharType="separate"/>
      </w:r>
      <w:r w:rsidR="00F230AB" w:rsidRPr="004F0D45">
        <w:rPr>
          <w:bdr w:val="none" w:sz="0" w:space="0" w:color="auto" w:frame="1"/>
        </w:rPr>
        <w:t xml:space="preserve">Figure </w:t>
      </w:r>
      <w:r w:rsidR="00F230AB" w:rsidRPr="004F0D45">
        <w:rPr>
          <w:noProof/>
        </w:rPr>
        <w:t>3</w:t>
      </w:r>
      <w:r w:rsidR="006E0C20" w:rsidRPr="004F0D45">
        <w:rPr>
          <w:rFonts w:eastAsia="Malgun Gothic"/>
        </w:rPr>
        <w:fldChar w:fldCharType="end"/>
      </w:r>
      <w:r w:rsidR="006E0C20" w:rsidRPr="004F0D45">
        <w:rPr>
          <w:rFonts w:eastAsia="Malgun Gothic"/>
        </w:rPr>
        <w:t xml:space="preserve"> shows an example of transmission direction indication for two UEs. </w:t>
      </w:r>
      <w:r w:rsidR="004D3DC9" w:rsidRPr="004F0D45">
        <w:rPr>
          <w:rFonts w:eastAsia="Malgun Gothic"/>
        </w:rPr>
        <w:t xml:space="preserve">In addition to the TDD and subband configurations, </w:t>
      </w:r>
      <w:r w:rsidR="00966A84" w:rsidRPr="004F0D45">
        <w:rPr>
          <w:rFonts w:eastAsia="Malgun Gothic"/>
        </w:rPr>
        <w:t xml:space="preserve">each UE is provided with a transmission direction indication. </w:t>
      </w:r>
      <w:r w:rsidR="004D3DC9" w:rsidRPr="004F0D45">
        <w:rPr>
          <w:rFonts w:eastAsia="Malgun Gothic"/>
        </w:rPr>
        <w:t>Th</w:t>
      </w:r>
      <w:r w:rsidR="00966A84" w:rsidRPr="004F0D45">
        <w:rPr>
          <w:rFonts w:eastAsia="Malgun Gothic"/>
        </w:rPr>
        <w:t>is</w:t>
      </w:r>
      <w:r w:rsidR="004D3DC9" w:rsidRPr="004F0D45">
        <w:rPr>
          <w:rFonts w:eastAsia="Malgun Gothic"/>
        </w:rPr>
        <w:t xml:space="preserve"> indication must be UE specific to support flexible and efficient operation of SBFD aware UE within each SBFD slot/symbol.</w:t>
      </w:r>
      <w:r w:rsidR="00EF17FD" w:rsidRPr="004F0D45">
        <w:rPr>
          <w:rFonts w:eastAsia="Malgun Gothic"/>
        </w:rPr>
        <w:t xml:space="preserve"> </w:t>
      </w:r>
      <w:r w:rsidRPr="004F0D45">
        <w:rPr>
          <w:rFonts w:eastAsia="Malgun Gothic"/>
        </w:rPr>
        <w:t>Two options c</w:t>
      </w:r>
      <w:r w:rsidR="00EF17FD" w:rsidRPr="004F0D45">
        <w:rPr>
          <w:rFonts w:eastAsia="Malgun Gothic"/>
        </w:rPr>
        <w:t>an</w:t>
      </w:r>
      <w:r w:rsidRPr="004F0D45">
        <w:rPr>
          <w:rFonts w:eastAsia="Malgun Gothic"/>
        </w:rPr>
        <w:t xml:space="preserve"> be considered. The first </w:t>
      </w:r>
      <w:r w:rsidR="00EA2C2A" w:rsidRPr="004F0D45">
        <w:rPr>
          <w:rFonts w:eastAsia="Malgun Gothic"/>
        </w:rPr>
        <w:t>option</w:t>
      </w:r>
      <w:r w:rsidRPr="004F0D45">
        <w:rPr>
          <w:rFonts w:eastAsia="Malgun Gothic"/>
        </w:rPr>
        <w:t xml:space="preserve"> is to preconfigure the transmission direction of each </w:t>
      </w:r>
      <w:r w:rsidR="004C31D2" w:rsidRPr="004F0D45">
        <w:rPr>
          <w:rFonts w:eastAsia="Malgun Gothic"/>
        </w:rPr>
        <w:t>SBFD slot/symbol</w:t>
      </w:r>
      <w:r w:rsidRPr="004F0D45">
        <w:rPr>
          <w:rFonts w:eastAsia="Malgun Gothic"/>
        </w:rPr>
        <w:t xml:space="preserve"> by higher layer</w:t>
      </w:r>
      <w:r w:rsidR="00E85B72" w:rsidRPr="004F0D45">
        <w:rPr>
          <w:rFonts w:eastAsia="Malgun Gothic"/>
        </w:rPr>
        <w:t xml:space="preserve"> UE-specific</w:t>
      </w:r>
      <w:r w:rsidRPr="004F0D45">
        <w:rPr>
          <w:rFonts w:eastAsia="Malgun Gothic"/>
        </w:rPr>
        <w:t xml:space="preserve"> signalling</w:t>
      </w:r>
      <w:r w:rsidR="00DF32F3" w:rsidRPr="004F0D45">
        <w:rPr>
          <w:rFonts w:eastAsia="Malgun Gothic"/>
        </w:rPr>
        <w:t>. In this case the transmission direction in a given SBFD slot/symbol is fixed</w:t>
      </w:r>
      <w:r w:rsidR="00801E31" w:rsidRPr="004F0D45">
        <w:rPr>
          <w:rFonts w:eastAsia="Malgun Gothic"/>
        </w:rPr>
        <w:t xml:space="preserve"> for a given UE</w:t>
      </w:r>
      <w:r w:rsidR="00DF32F3" w:rsidRPr="004F0D45">
        <w:rPr>
          <w:rFonts w:eastAsia="Malgun Gothic"/>
        </w:rPr>
        <w:t xml:space="preserve">, </w:t>
      </w:r>
      <w:r w:rsidR="00FC605C" w:rsidRPr="004F0D45">
        <w:rPr>
          <w:rFonts w:eastAsia="Malgun Gothic"/>
        </w:rPr>
        <w:t>similar to “U” or “D” slots defined in the current specification</w:t>
      </w:r>
      <w:r w:rsidR="00801E31" w:rsidRPr="004F0D45">
        <w:rPr>
          <w:rFonts w:eastAsia="Malgun Gothic"/>
        </w:rPr>
        <w:t>.</w:t>
      </w:r>
      <w:r w:rsidR="00FC605C" w:rsidRPr="004F0D45">
        <w:rPr>
          <w:rFonts w:eastAsia="Malgun Gothic"/>
        </w:rPr>
        <w:t xml:space="preserve"> </w:t>
      </w:r>
      <w:r w:rsidR="00801E31" w:rsidRPr="004F0D45">
        <w:rPr>
          <w:rFonts w:eastAsia="Malgun Gothic"/>
        </w:rPr>
        <w:t xml:space="preserve">The other option is </w:t>
      </w:r>
      <w:r w:rsidR="0070548E" w:rsidRPr="004F0D45">
        <w:rPr>
          <w:rFonts w:eastAsia="Malgun Gothic"/>
        </w:rPr>
        <w:t>having</w:t>
      </w:r>
      <w:r w:rsidR="00801E31" w:rsidRPr="004F0D45">
        <w:rPr>
          <w:rFonts w:eastAsia="Malgun Gothic"/>
        </w:rPr>
        <w:t xml:space="preserve"> both directions (U and D) as valid for each SBFD slot/symbol and the scheduling DCI indicates to the UE if it should transmit or receive in a given slot. </w:t>
      </w:r>
      <w:r w:rsidR="00172CAA" w:rsidRPr="004F0D45">
        <w:rPr>
          <w:rFonts w:eastAsia="Malgun Gothic"/>
        </w:rPr>
        <w:t>In our opinion</w:t>
      </w:r>
      <w:r w:rsidR="00801E31" w:rsidRPr="004F0D45">
        <w:rPr>
          <w:rFonts w:eastAsia="Malgun Gothic"/>
        </w:rPr>
        <w:t>,</w:t>
      </w:r>
      <w:r w:rsidR="00172CAA" w:rsidRPr="004F0D45">
        <w:rPr>
          <w:rFonts w:eastAsia="Malgun Gothic"/>
        </w:rPr>
        <w:t xml:space="preserve"> RAN1 should study </w:t>
      </w:r>
      <w:r w:rsidR="00A9380F" w:rsidRPr="004F0D45">
        <w:rPr>
          <w:rFonts w:eastAsia="Malgun Gothic"/>
        </w:rPr>
        <w:t>both</w:t>
      </w:r>
      <w:r w:rsidR="00172CAA" w:rsidRPr="004F0D45">
        <w:rPr>
          <w:rFonts w:eastAsia="Malgun Gothic"/>
        </w:rPr>
        <w:t xml:space="preserve"> options to determine </w:t>
      </w:r>
      <w:r w:rsidR="00801E31" w:rsidRPr="004F0D45">
        <w:rPr>
          <w:rFonts w:eastAsia="Malgun Gothic"/>
        </w:rPr>
        <w:t>if the</w:t>
      </w:r>
      <w:r w:rsidR="006E7ACE" w:rsidRPr="004F0D45">
        <w:rPr>
          <w:rFonts w:eastAsia="Malgun Gothic"/>
        </w:rPr>
        <w:t xml:space="preserve"> transmission </w:t>
      </w:r>
      <w:r w:rsidR="00172CAA" w:rsidRPr="004F0D45">
        <w:rPr>
          <w:rFonts w:eastAsia="Malgun Gothic"/>
        </w:rPr>
        <w:t xml:space="preserve">link direction is </w:t>
      </w:r>
      <w:r w:rsidR="00801E31" w:rsidRPr="004F0D45">
        <w:rPr>
          <w:rFonts w:eastAsia="Malgun Gothic"/>
        </w:rPr>
        <w:t>semi-statically configured or determined based on the scheduling DCI</w:t>
      </w:r>
      <w:r w:rsidR="00172CAA" w:rsidRPr="004F0D45">
        <w:rPr>
          <w:rFonts w:eastAsia="Malgun Gothic"/>
        </w:rPr>
        <w:t xml:space="preserve">.   </w:t>
      </w:r>
      <w:r w:rsidR="00FC605C" w:rsidRPr="004F0D45">
        <w:rPr>
          <w:rFonts w:eastAsia="Malgun Gothic"/>
        </w:rPr>
        <w:t xml:space="preserve"> </w:t>
      </w:r>
    </w:p>
    <w:p w14:paraId="1B4A0904" w14:textId="7D306FB7" w:rsidR="002E7B02" w:rsidRPr="004F0D45" w:rsidRDefault="002E7B02" w:rsidP="002E7B02">
      <w:pPr>
        <w:spacing w:after="0"/>
        <w:contextualSpacing/>
        <w:jc w:val="both"/>
        <w:rPr>
          <w:rFonts w:eastAsia="Malgun Gothic"/>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7</w:t>
      </w:r>
      <w:r w:rsidRPr="004F0D45">
        <w:rPr>
          <w:b/>
          <w:bCs/>
          <w:i/>
          <w:iCs/>
        </w:rPr>
        <w:fldChar w:fldCharType="end"/>
      </w:r>
      <w:r w:rsidRPr="004F0D45">
        <w:rPr>
          <w:rFonts w:cstheme="minorHAnsi"/>
          <w:b/>
          <w:bCs/>
          <w:i/>
          <w:iCs/>
        </w:rPr>
        <w:t xml:space="preserve">: </w:t>
      </w:r>
      <w:bookmarkStart w:id="14" w:name="_Ref131597081"/>
      <w:r w:rsidRPr="004F0D45">
        <w:rPr>
          <w:rFonts w:cstheme="minorHAnsi"/>
          <w:b/>
          <w:bCs/>
          <w:i/>
          <w:iCs/>
        </w:rPr>
        <w:t xml:space="preserve">RAN1 to study the following options for transmission direction indication in SBFD </w:t>
      </w:r>
      <w:r w:rsidR="0085788E" w:rsidRPr="004F0D45">
        <w:rPr>
          <w:rFonts w:cstheme="minorHAnsi"/>
          <w:b/>
          <w:bCs/>
          <w:i/>
          <w:iCs/>
        </w:rPr>
        <w:t>slots/</w:t>
      </w:r>
      <w:r w:rsidRPr="004F0D45">
        <w:rPr>
          <w:rFonts w:cstheme="minorHAnsi"/>
          <w:b/>
          <w:bCs/>
          <w:i/>
          <w:iCs/>
        </w:rPr>
        <w:t>symbols</w:t>
      </w:r>
      <w:bookmarkEnd w:id="14"/>
    </w:p>
    <w:p w14:paraId="02489BC0" w14:textId="77777777" w:rsidR="002E7B02" w:rsidRPr="004F0D45" w:rsidRDefault="002E7B02">
      <w:pPr>
        <w:pStyle w:val="ListParagraph"/>
        <w:numPr>
          <w:ilvl w:val="0"/>
          <w:numId w:val="17"/>
        </w:numPr>
        <w:ind w:left="714" w:hanging="357"/>
        <w:jc w:val="both"/>
        <w:rPr>
          <w:rFonts w:eastAsia="Malgun Gothic"/>
          <w:b/>
          <w:bCs/>
          <w:i/>
          <w:iCs/>
          <w:sz w:val="20"/>
          <w:szCs w:val="20"/>
        </w:rPr>
      </w:pPr>
      <w:r w:rsidRPr="004F0D45">
        <w:rPr>
          <w:rFonts w:eastAsia="Malgun Gothic"/>
          <w:b/>
          <w:bCs/>
          <w:i/>
          <w:iCs/>
          <w:sz w:val="20"/>
          <w:szCs w:val="20"/>
        </w:rPr>
        <w:t>Option 1: Transmission direction is preconfigured by higher layer signalling</w:t>
      </w:r>
    </w:p>
    <w:p w14:paraId="368BB831" w14:textId="77777777" w:rsidR="002E7B02" w:rsidRPr="004F0D45" w:rsidRDefault="002E7B02">
      <w:pPr>
        <w:pStyle w:val="ListParagraph"/>
        <w:numPr>
          <w:ilvl w:val="0"/>
          <w:numId w:val="17"/>
        </w:numPr>
        <w:ind w:left="714" w:hanging="357"/>
        <w:jc w:val="both"/>
        <w:rPr>
          <w:rFonts w:eastAsia="Malgun Gothic"/>
          <w:b/>
          <w:bCs/>
          <w:i/>
          <w:iCs/>
          <w:sz w:val="20"/>
          <w:szCs w:val="20"/>
        </w:rPr>
      </w:pPr>
      <w:r w:rsidRPr="004F0D45">
        <w:rPr>
          <w:rFonts w:eastAsia="Malgun Gothic"/>
          <w:b/>
          <w:bCs/>
          <w:i/>
          <w:iCs/>
          <w:sz w:val="20"/>
          <w:szCs w:val="20"/>
        </w:rPr>
        <w:t xml:space="preserve">Option 2: Transmission direction is dynamically determined based on the scheduling DCI   </w:t>
      </w:r>
    </w:p>
    <w:p w14:paraId="3D450127" w14:textId="77777777" w:rsidR="002E7B02" w:rsidRPr="004F0D45" w:rsidRDefault="002E7B02" w:rsidP="001A05B9">
      <w:pPr>
        <w:jc w:val="both"/>
        <w:rPr>
          <w:rFonts w:eastAsia="Malgun Gothic"/>
          <w:lang w:val="fi-FI"/>
        </w:rPr>
      </w:pPr>
    </w:p>
    <w:p w14:paraId="54466C4E" w14:textId="3C18BF19" w:rsidR="00805C3B" w:rsidRPr="004F0D45" w:rsidRDefault="005B6483" w:rsidP="005B6483">
      <w:pPr>
        <w:spacing w:after="0"/>
        <w:contextualSpacing/>
        <w:jc w:val="center"/>
        <w:rPr>
          <w:rFonts w:eastAsia="Malgun Gothic"/>
        </w:rPr>
      </w:pPr>
      <w:r w:rsidRPr="004F0D45">
        <w:rPr>
          <w:rFonts w:eastAsia="Malgun Gothic"/>
          <w:noProof/>
        </w:rPr>
        <w:lastRenderedPageBreak/>
        <w:drawing>
          <wp:inline distT="0" distB="0" distL="0" distR="0" wp14:anchorId="7CB31D70" wp14:editId="69C23772">
            <wp:extent cx="3176811" cy="2572603"/>
            <wp:effectExtent l="0" t="0" r="5080" b="0"/>
            <wp:docPr id="8" name="Picture 3">
              <a:extLst xmlns:a="http://schemas.openxmlformats.org/drawingml/2006/main">
                <a:ext uri="{FF2B5EF4-FFF2-40B4-BE49-F238E27FC236}">
                  <a16:creationId xmlns:a16="http://schemas.microsoft.com/office/drawing/2014/main" id="{68423042-3829-5372-907A-4AFE8C4E20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68423042-3829-5372-907A-4AFE8C4E2073}"/>
                        </a:ext>
                      </a:extLst>
                    </pic:cNvPr>
                    <pic:cNvPicPr>
                      <a:picLocks noChangeAspect="1"/>
                    </pic:cNvPicPr>
                  </pic:nvPicPr>
                  <pic:blipFill>
                    <a:blip r:embed="rId15"/>
                    <a:stretch>
                      <a:fillRect/>
                    </a:stretch>
                  </pic:blipFill>
                  <pic:spPr>
                    <a:xfrm>
                      <a:off x="0" y="0"/>
                      <a:ext cx="3206511" cy="2596654"/>
                    </a:xfrm>
                    <a:prstGeom prst="rect">
                      <a:avLst/>
                    </a:prstGeom>
                  </pic:spPr>
                </pic:pic>
              </a:graphicData>
            </a:graphic>
          </wp:inline>
        </w:drawing>
      </w:r>
    </w:p>
    <w:p w14:paraId="500322FA" w14:textId="74A4F2C5" w:rsidR="00010709" w:rsidRPr="004F0D45" w:rsidRDefault="00010709" w:rsidP="003B74B7">
      <w:pPr>
        <w:spacing w:after="120"/>
        <w:jc w:val="center"/>
        <w:rPr>
          <w:lang w:val="en-US" w:eastAsia="ko-KR"/>
        </w:rPr>
      </w:pPr>
      <w:bookmarkStart w:id="15" w:name="_Ref131683700"/>
      <w:r w:rsidRPr="004F0D45">
        <w:rPr>
          <w:bdr w:val="none" w:sz="0" w:space="0" w:color="auto" w:frame="1"/>
        </w:rPr>
        <w:t xml:space="preserve">Figure </w:t>
      </w:r>
      <w:r w:rsidRPr="004F0D45">
        <w:fldChar w:fldCharType="begin"/>
      </w:r>
      <w:r w:rsidRPr="004F0D45">
        <w:instrText xml:space="preserve"> SEQ Figure \* ARABIC </w:instrText>
      </w:r>
      <w:r w:rsidRPr="004F0D45">
        <w:fldChar w:fldCharType="separate"/>
      </w:r>
      <w:r w:rsidR="00F230AB" w:rsidRPr="004F0D45">
        <w:rPr>
          <w:noProof/>
        </w:rPr>
        <w:t>3</w:t>
      </w:r>
      <w:r w:rsidRPr="004F0D45">
        <w:rPr>
          <w:noProof/>
        </w:rPr>
        <w:fldChar w:fldCharType="end"/>
      </w:r>
      <w:bookmarkEnd w:id="15"/>
      <w:r w:rsidRPr="004F0D45">
        <w:rPr>
          <w:bdr w:val="none" w:sz="0" w:space="0" w:color="auto" w:frame="1"/>
        </w:rPr>
        <w:t xml:space="preserve">: </w:t>
      </w:r>
      <w:r w:rsidR="00430BAF" w:rsidRPr="004F0D45">
        <w:rPr>
          <w:bdr w:val="none" w:sz="0" w:space="0" w:color="auto" w:frame="1"/>
        </w:rPr>
        <w:t>Transmission direction in SBFD slots/symbols</w:t>
      </w:r>
      <w:r w:rsidR="00EB0658" w:rsidRPr="004F0D45">
        <w:rPr>
          <w:bdr w:val="none" w:sz="0" w:space="0" w:color="auto" w:frame="1"/>
        </w:rPr>
        <w:t xml:space="preserve"> preconfigured by higher layer signalling </w:t>
      </w:r>
    </w:p>
    <w:p w14:paraId="3D7E7C83" w14:textId="53AE762D" w:rsidR="001A05B9" w:rsidRPr="004F0D45" w:rsidRDefault="001A05B9" w:rsidP="001A05B9">
      <w:pPr>
        <w:pStyle w:val="Heading3"/>
        <w:spacing w:before="240"/>
        <w:jc w:val="both"/>
      </w:pPr>
      <w:r w:rsidRPr="004F0D45">
        <w:t xml:space="preserve">Behaviour of SBFD-aware UE in SBFD symbols </w:t>
      </w:r>
    </w:p>
    <w:p w14:paraId="235835A0" w14:textId="594B9651" w:rsidR="00AD7675" w:rsidRPr="004F0D45" w:rsidRDefault="00305493" w:rsidP="001A05B9">
      <w:pPr>
        <w:jc w:val="both"/>
        <w:rPr>
          <w:rFonts w:eastAsia="Malgun Gothic"/>
          <w:b/>
          <w:bCs/>
          <w:i/>
          <w:iCs/>
        </w:rPr>
      </w:pPr>
      <w:r w:rsidRPr="004F0D45">
        <w:t xml:space="preserve">In RAN1#112, it was agreed to study the behaviour of SBFD-aware UEs within and outside UL subband in a symbol configured as DL or flexible in </w:t>
      </w:r>
      <w:r w:rsidRPr="004F0D45">
        <w:rPr>
          <w:i/>
          <w:iCs/>
        </w:rPr>
        <w:t>TDD-UL-DL-</w:t>
      </w:r>
      <w:proofErr w:type="spellStart"/>
      <w:r w:rsidRPr="004F0D45">
        <w:rPr>
          <w:i/>
          <w:iCs/>
        </w:rPr>
        <w:t>ConfigCommon</w:t>
      </w:r>
      <w:proofErr w:type="spellEnd"/>
      <w:r w:rsidRPr="004F0D45">
        <w:rPr>
          <w:rFonts w:eastAsia="Malgun Gothic"/>
        </w:rPr>
        <w:t xml:space="preserve">. </w:t>
      </w:r>
      <w:r w:rsidR="009132C6" w:rsidRPr="004F0D45">
        <w:rPr>
          <w:rFonts w:eastAsia="Malgun Gothic"/>
        </w:rPr>
        <w:t xml:space="preserve">Both cases are considered below. </w:t>
      </w:r>
    </w:p>
    <w:tbl>
      <w:tblPr>
        <w:tblStyle w:val="TableGrid"/>
        <w:tblW w:w="0" w:type="auto"/>
        <w:tblLook w:val="04A0" w:firstRow="1" w:lastRow="0" w:firstColumn="1" w:lastColumn="0" w:noHBand="0" w:noVBand="1"/>
      </w:tblPr>
      <w:tblGrid>
        <w:gridCol w:w="9629"/>
      </w:tblGrid>
      <w:tr w:rsidR="00520939" w:rsidRPr="004F0D45" w14:paraId="7FEC0647" w14:textId="77777777" w:rsidTr="00293753">
        <w:tc>
          <w:tcPr>
            <w:tcW w:w="9629" w:type="dxa"/>
          </w:tcPr>
          <w:p w14:paraId="118A54C4" w14:textId="77777777" w:rsidR="00520939" w:rsidRPr="004F0D45" w:rsidRDefault="00520939" w:rsidP="00AA6250">
            <w:pPr>
              <w:spacing w:after="0"/>
              <w:contextualSpacing/>
              <w:jc w:val="both"/>
              <w:rPr>
                <w:rFonts w:eastAsia="Times New Roman"/>
                <w:b/>
                <w:bCs/>
                <w:lang w:eastAsia="en-GB"/>
              </w:rPr>
            </w:pPr>
            <w:r w:rsidRPr="004F0D45">
              <w:rPr>
                <w:rFonts w:eastAsia="Times New Roman"/>
                <w:b/>
                <w:bCs/>
                <w:lang w:eastAsia="en-GB"/>
              </w:rPr>
              <w:t>Agreement RAN1#112</w:t>
            </w:r>
          </w:p>
          <w:p w14:paraId="02E29808" w14:textId="77777777" w:rsidR="00520939" w:rsidRPr="004F0D45" w:rsidRDefault="00520939" w:rsidP="00AA6250">
            <w:pPr>
              <w:spacing w:after="0"/>
              <w:contextualSpacing/>
              <w:jc w:val="both"/>
              <w:rPr>
                <w:rFonts w:eastAsia="Malgun Gothic"/>
                <w:lang w:eastAsia="zh-CN"/>
              </w:rPr>
            </w:pPr>
            <w:r w:rsidRPr="004F0D45">
              <w:rPr>
                <w:rFonts w:eastAsia="Malgun Gothic"/>
                <w:lang w:eastAsia="zh-CN"/>
              </w:rPr>
              <w:t>For dynamic SBFD,</w:t>
            </w:r>
          </w:p>
          <w:p w14:paraId="49EF208E" w14:textId="77777777" w:rsidR="00520939" w:rsidRPr="004F0D45" w:rsidRDefault="00520939">
            <w:pPr>
              <w:numPr>
                <w:ilvl w:val="1"/>
                <w:numId w:val="15"/>
              </w:numPr>
              <w:overflowPunct/>
              <w:autoSpaceDE/>
              <w:autoSpaceDN/>
              <w:adjustRightInd/>
              <w:spacing w:after="0"/>
              <w:contextualSpacing/>
              <w:jc w:val="both"/>
              <w:rPr>
                <w:rFonts w:eastAsia="Malgun Gothic"/>
                <w:lang w:eastAsia="zh-CN"/>
              </w:rPr>
            </w:pPr>
            <w:r w:rsidRPr="004F0D45">
              <w:rPr>
                <w:rFonts w:eastAsia="Malgun Gothic"/>
                <w:lang w:eastAsia="zh-CN"/>
              </w:rPr>
              <w:t xml:space="preserve">For SBFD-aware UEs, further study whether DL receptions outside semi-statically configured DL subband(s) are allowed or not in a symbol configured as DL in </w:t>
            </w:r>
            <w:r w:rsidRPr="004F0D45">
              <w:rPr>
                <w:rFonts w:eastAsia="Malgun Gothic"/>
                <w:i/>
                <w:lang w:eastAsia="zh-CN"/>
              </w:rPr>
              <w:t>TDD-UL-DL-</w:t>
            </w:r>
            <w:proofErr w:type="spellStart"/>
            <w:r w:rsidRPr="004F0D45">
              <w:rPr>
                <w:rFonts w:eastAsia="Malgun Gothic"/>
                <w:i/>
                <w:lang w:eastAsia="zh-CN"/>
              </w:rPr>
              <w:t>ConfigCommon</w:t>
            </w:r>
            <w:proofErr w:type="spellEnd"/>
            <w:r w:rsidRPr="004F0D45">
              <w:rPr>
                <w:rFonts w:eastAsia="Malgun Gothic"/>
                <w:lang w:eastAsia="zh-CN"/>
              </w:rPr>
              <w:t xml:space="preserve"> based on the following options:</w:t>
            </w:r>
          </w:p>
          <w:p w14:paraId="75C0C386" w14:textId="77777777" w:rsidR="00520939" w:rsidRPr="004F0D45" w:rsidRDefault="00520939">
            <w:pPr>
              <w:pStyle w:val="ListParagraph"/>
              <w:numPr>
                <w:ilvl w:val="2"/>
                <w:numId w:val="15"/>
              </w:numPr>
              <w:jc w:val="both"/>
              <w:rPr>
                <w:rFonts w:eastAsia="Malgun Gothic"/>
                <w:sz w:val="20"/>
                <w:szCs w:val="20"/>
              </w:rPr>
            </w:pPr>
            <w:r w:rsidRPr="004F0D45">
              <w:rPr>
                <w:rFonts w:eastAsia="Malgun Gothic"/>
                <w:sz w:val="20"/>
                <w:szCs w:val="20"/>
              </w:rPr>
              <w:t>Option 1 (semi-static): DL receptions outside semi-statically configured DL subband(s) are not allowed</w:t>
            </w:r>
          </w:p>
          <w:p w14:paraId="7F19D7A6" w14:textId="77777777" w:rsidR="00520939" w:rsidRPr="004F0D45" w:rsidRDefault="00520939">
            <w:pPr>
              <w:pStyle w:val="ListParagraph"/>
              <w:numPr>
                <w:ilvl w:val="2"/>
                <w:numId w:val="15"/>
              </w:numPr>
              <w:jc w:val="both"/>
              <w:rPr>
                <w:rFonts w:eastAsia="Malgun Gothic"/>
                <w:sz w:val="20"/>
                <w:szCs w:val="20"/>
              </w:rPr>
            </w:pPr>
            <w:r w:rsidRPr="004F0D45">
              <w:rPr>
                <w:rFonts w:eastAsia="Malgun Gothic"/>
                <w:sz w:val="20"/>
                <w:szCs w:val="20"/>
              </w:rPr>
              <w:t xml:space="preserve">Option 2: DL receptions outside semi-statically configured DL subband(s) are allowed </w:t>
            </w:r>
          </w:p>
          <w:p w14:paraId="1D72F1C5" w14:textId="77777777" w:rsidR="00520939" w:rsidRPr="004F0D45" w:rsidRDefault="00520939">
            <w:pPr>
              <w:numPr>
                <w:ilvl w:val="1"/>
                <w:numId w:val="15"/>
              </w:numPr>
              <w:overflowPunct/>
              <w:autoSpaceDE/>
              <w:autoSpaceDN/>
              <w:adjustRightInd/>
              <w:spacing w:after="0"/>
              <w:contextualSpacing/>
              <w:jc w:val="both"/>
              <w:rPr>
                <w:rFonts w:eastAsia="Malgun Gothic"/>
                <w:lang w:eastAsia="zh-CN"/>
              </w:rPr>
            </w:pPr>
            <w:r w:rsidRPr="004F0D45">
              <w:rPr>
                <w:rFonts w:eastAsia="Malgun Gothic"/>
                <w:lang w:eastAsia="zh-CN"/>
              </w:rPr>
              <w:t xml:space="preserve">For SBFD-aware UEs, further study whether DL receptions outside semi-statically configured DL subband(s) and UL transmissions outside semi-statically configured UL subband are allowed or not in the symbol configured as flexible in </w:t>
            </w:r>
            <w:r w:rsidRPr="004F0D45">
              <w:rPr>
                <w:rFonts w:eastAsia="Malgun Gothic"/>
                <w:i/>
                <w:lang w:eastAsia="zh-CN"/>
              </w:rPr>
              <w:t>TDD-UL-DL-</w:t>
            </w:r>
            <w:proofErr w:type="spellStart"/>
            <w:r w:rsidRPr="004F0D45">
              <w:rPr>
                <w:rFonts w:eastAsia="Malgun Gothic"/>
                <w:i/>
                <w:lang w:eastAsia="zh-CN"/>
              </w:rPr>
              <w:t>ConfigCommon</w:t>
            </w:r>
            <w:proofErr w:type="spellEnd"/>
            <w:r w:rsidRPr="004F0D45">
              <w:rPr>
                <w:rFonts w:eastAsia="Malgun Gothic"/>
                <w:lang w:eastAsia="zh-CN"/>
              </w:rPr>
              <w:t xml:space="preserve"> based on the following options:</w:t>
            </w:r>
          </w:p>
          <w:p w14:paraId="5DB1CCC9" w14:textId="77777777" w:rsidR="00520939" w:rsidRPr="004F0D45" w:rsidRDefault="00520939">
            <w:pPr>
              <w:pStyle w:val="ListParagraph"/>
              <w:numPr>
                <w:ilvl w:val="2"/>
                <w:numId w:val="15"/>
              </w:numPr>
              <w:jc w:val="both"/>
              <w:rPr>
                <w:rFonts w:eastAsia="Malgun Gothic"/>
                <w:sz w:val="20"/>
                <w:szCs w:val="20"/>
              </w:rPr>
            </w:pPr>
            <w:r w:rsidRPr="004F0D45">
              <w:rPr>
                <w:rFonts w:eastAsia="Malgun Gothic"/>
                <w:sz w:val="20"/>
                <w:szCs w:val="20"/>
              </w:rPr>
              <w:t>Option 1 (semi-static): DL receptions outside semi-statically configured DL subband(s) are not allowed and UL transmissions outside semi-statically configured UL subband are not allowed</w:t>
            </w:r>
          </w:p>
          <w:p w14:paraId="090A1A08" w14:textId="77777777" w:rsidR="00520939" w:rsidRPr="004F0D45" w:rsidRDefault="00520939">
            <w:pPr>
              <w:pStyle w:val="ListParagraph"/>
              <w:numPr>
                <w:ilvl w:val="2"/>
                <w:numId w:val="15"/>
              </w:numPr>
              <w:jc w:val="both"/>
              <w:rPr>
                <w:rFonts w:eastAsia="Malgun Gothic"/>
                <w:sz w:val="20"/>
                <w:szCs w:val="20"/>
              </w:rPr>
            </w:pPr>
            <w:r w:rsidRPr="004F0D45">
              <w:rPr>
                <w:rFonts w:eastAsia="Malgun Gothic"/>
                <w:sz w:val="20"/>
                <w:szCs w:val="20"/>
              </w:rPr>
              <w:t xml:space="preserve">Option 2: DL receptions outside semi-statically configured DL subband(s) are allowed </w:t>
            </w:r>
          </w:p>
          <w:p w14:paraId="639564AB" w14:textId="77777777" w:rsidR="00520939" w:rsidRPr="004F0D45" w:rsidRDefault="00520939">
            <w:pPr>
              <w:pStyle w:val="ListParagraph"/>
              <w:numPr>
                <w:ilvl w:val="3"/>
                <w:numId w:val="15"/>
              </w:numPr>
              <w:jc w:val="both"/>
              <w:rPr>
                <w:rFonts w:eastAsia="Malgun Gothic"/>
                <w:sz w:val="20"/>
                <w:szCs w:val="20"/>
              </w:rPr>
            </w:pPr>
            <w:r w:rsidRPr="004F0D45">
              <w:rPr>
                <w:rFonts w:eastAsia="Malgun Gothic"/>
                <w:sz w:val="20"/>
                <w:szCs w:val="20"/>
              </w:rPr>
              <w:t>UL transmissions outside the semi-statically configured UL subbands are not allowed</w:t>
            </w:r>
          </w:p>
          <w:p w14:paraId="7543E410" w14:textId="77777777" w:rsidR="00520939" w:rsidRPr="004F0D45" w:rsidRDefault="00520939">
            <w:pPr>
              <w:pStyle w:val="ListParagraph"/>
              <w:numPr>
                <w:ilvl w:val="2"/>
                <w:numId w:val="15"/>
              </w:numPr>
              <w:jc w:val="both"/>
              <w:rPr>
                <w:rFonts w:eastAsia="Malgun Gothic"/>
                <w:sz w:val="20"/>
                <w:szCs w:val="20"/>
              </w:rPr>
            </w:pPr>
            <w:r w:rsidRPr="004F0D45">
              <w:rPr>
                <w:rFonts w:eastAsia="Malgun Gothic"/>
                <w:sz w:val="20"/>
                <w:szCs w:val="20"/>
              </w:rPr>
              <w:t>Option 3: DL receptions outside semi-statically configured DL subband(s) are allowed</w:t>
            </w:r>
          </w:p>
          <w:p w14:paraId="489121E3" w14:textId="77777777" w:rsidR="00520939" w:rsidRPr="004F0D45" w:rsidRDefault="00520939">
            <w:pPr>
              <w:pStyle w:val="ListParagraph"/>
              <w:numPr>
                <w:ilvl w:val="3"/>
                <w:numId w:val="15"/>
              </w:numPr>
              <w:jc w:val="both"/>
              <w:rPr>
                <w:rFonts w:eastAsia="Malgun Gothic"/>
                <w:sz w:val="20"/>
                <w:szCs w:val="20"/>
              </w:rPr>
            </w:pPr>
            <w:r w:rsidRPr="004F0D45">
              <w:rPr>
                <w:rFonts w:eastAsia="Malgun Gothic"/>
                <w:sz w:val="20"/>
                <w:szCs w:val="20"/>
              </w:rPr>
              <w:t>UL transmissions outside the semi-statically configured UL subbands are allowed</w:t>
            </w:r>
          </w:p>
          <w:p w14:paraId="02CDE6D9" w14:textId="77777777" w:rsidR="00520939" w:rsidRPr="004F0D45" w:rsidRDefault="00520939" w:rsidP="00AA6250">
            <w:pPr>
              <w:tabs>
                <w:tab w:val="left" w:pos="0"/>
              </w:tabs>
              <w:spacing w:after="0"/>
              <w:contextualSpacing/>
              <w:jc w:val="both"/>
              <w:rPr>
                <w:rFonts w:eastAsia="Malgun Gothic"/>
                <w:lang w:eastAsia="zh-CN"/>
              </w:rPr>
            </w:pPr>
            <w:r w:rsidRPr="004F0D45">
              <w:rPr>
                <w:rFonts w:eastAsia="Malgun Gothic"/>
                <w:lang w:eastAsia="zh-CN"/>
              </w:rPr>
              <w:t>Dynamic SBFD should be compared with dynamic TDD and/or semi-static SBFD in terms of performance, implementation complexity, switching latency.</w:t>
            </w:r>
          </w:p>
          <w:p w14:paraId="301DBD18" w14:textId="77777777" w:rsidR="00520939" w:rsidRPr="004F0D45" w:rsidRDefault="00520939" w:rsidP="00AA6250">
            <w:pPr>
              <w:pStyle w:val="ListParagraph"/>
              <w:tabs>
                <w:tab w:val="left" w:pos="0"/>
              </w:tabs>
              <w:ind w:left="0"/>
              <w:jc w:val="both"/>
              <w:rPr>
                <w:rFonts w:eastAsia="Malgun Gothic" w:cs="Times"/>
                <w:szCs w:val="20"/>
              </w:rPr>
            </w:pPr>
            <w:r w:rsidRPr="004F0D45">
              <w:rPr>
                <w:rFonts w:eastAsia="Malgun Gothic"/>
                <w:sz w:val="20"/>
                <w:szCs w:val="20"/>
              </w:rPr>
              <w:t>For each option, additional conditions may apply to determine whether the option is applicable</w:t>
            </w:r>
            <w:r w:rsidRPr="004F0D45">
              <w:rPr>
                <w:rFonts w:eastAsia="Malgun Gothic" w:cs="Times"/>
                <w:szCs w:val="20"/>
              </w:rPr>
              <w:t>.</w:t>
            </w:r>
          </w:p>
        </w:tc>
      </w:tr>
    </w:tbl>
    <w:p w14:paraId="0E65E6A4" w14:textId="77777777" w:rsidR="00520939" w:rsidRPr="004F0D45" w:rsidRDefault="00520939" w:rsidP="00AA6250">
      <w:pPr>
        <w:spacing w:after="0"/>
        <w:contextualSpacing/>
        <w:jc w:val="both"/>
        <w:rPr>
          <w:b/>
          <w:bCs/>
          <w:u w:val="single"/>
        </w:rPr>
      </w:pPr>
    </w:p>
    <w:p w14:paraId="0FF1CA24" w14:textId="2CCEA392" w:rsidR="00305493" w:rsidRPr="004F0D45" w:rsidRDefault="00305493" w:rsidP="00AA6250">
      <w:pPr>
        <w:spacing w:after="0"/>
        <w:contextualSpacing/>
        <w:jc w:val="both"/>
        <w:rPr>
          <w:rFonts w:eastAsia="Malgun Gothic"/>
          <w:b/>
          <w:bCs/>
          <w:u w:val="single"/>
        </w:rPr>
      </w:pPr>
      <w:r w:rsidRPr="004F0D45">
        <w:rPr>
          <w:b/>
          <w:bCs/>
          <w:u w:val="single"/>
        </w:rPr>
        <w:t xml:space="preserve">Case 1: </w:t>
      </w:r>
      <w:r w:rsidRPr="004F0D45">
        <w:rPr>
          <w:rFonts w:eastAsia="Malgun Gothic"/>
          <w:b/>
          <w:bCs/>
          <w:u w:val="single"/>
        </w:rPr>
        <w:t xml:space="preserve">UL subband in a symbol </w:t>
      </w:r>
      <w:r w:rsidRPr="004F0D45">
        <w:rPr>
          <w:b/>
          <w:bCs/>
          <w:u w:val="single"/>
        </w:rPr>
        <w:t xml:space="preserve">configured as DL in </w:t>
      </w:r>
      <w:r w:rsidRPr="004F0D45">
        <w:rPr>
          <w:b/>
          <w:bCs/>
          <w:i/>
          <w:iCs/>
          <w:u w:val="single"/>
        </w:rPr>
        <w:t>TDD-UL-DL-</w:t>
      </w:r>
      <w:proofErr w:type="spellStart"/>
      <w:r w:rsidRPr="004F0D45">
        <w:rPr>
          <w:b/>
          <w:bCs/>
          <w:i/>
          <w:iCs/>
          <w:u w:val="single"/>
        </w:rPr>
        <w:t>ConfigCommon</w:t>
      </w:r>
      <w:proofErr w:type="spellEnd"/>
    </w:p>
    <w:p w14:paraId="5AB35ABB" w14:textId="4B2EE91C" w:rsidR="00AC447C" w:rsidRPr="004F0D45" w:rsidRDefault="00305493" w:rsidP="005D664D">
      <w:pPr>
        <w:jc w:val="both"/>
        <w:rPr>
          <w:rFonts w:eastAsia="Malgun Gothic"/>
        </w:rPr>
      </w:pPr>
      <w:r w:rsidRPr="004F0D45">
        <w:rPr>
          <w:rFonts w:eastAsia="Malgun Gothic"/>
        </w:rPr>
        <w:t>For this case, Option 1</w:t>
      </w:r>
      <w:r w:rsidR="009718DF" w:rsidRPr="004F0D45">
        <w:rPr>
          <w:rFonts w:eastAsia="Malgun Gothic"/>
        </w:rPr>
        <w:t xml:space="preserve"> in the agreement above</w:t>
      </w:r>
      <w:r w:rsidRPr="004F0D45">
        <w:rPr>
          <w:rFonts w:eastAsia="Malgun Gothic"/>
        </w:rPr>
        <w:t xml:space="preserve"> provides protection against UE-UE CLI by restricting transmission and reception within the </w:t>
      </w:r>
      <w:r w:rsidR="009718DF" w:rsidRPr="004F0D45">
        <w:rPr>
          <w:rFonts w:eastAsia="Malgun Gothic"/>
        </w:rPr>
        <w:t>U</w:t>
      </w:r>
      <w:r w:rsidRPr="004F0D45">
        <w:rPr>
          <w:rFonts w:eastAsia="Malgun Gothic"/>
        </w:rPr>
        <w:t xml:space="preserve">L and </w:t>
      </w:r>
      <w:r w:rsidR="009718DF" w:rsidRPr="004F0D45">
        <w:rPr>
          <w:rFonts w:eastAsia="Malgun Gothic"/>
        </w:rPr>
        <w:t>D</w:t>
      </w:r>
      <w:r w:rsidRPr="004F0D45">
        <w:rPr>
          <w:rFonts w:eastAsia="Malgun Gothic"/>
        </w:rPr>
        <w:t>L subbands, respectively. However, this option can limit scheduling flexibility and link adaptation in the case where UL/DL traffic load within a cell varies frequently.</w:t>
      </w:r>
      <w:r w:rsidR="00FF371D" w:rsidRPr="004F0D45">
        <w:rPr>
          <w:rFonts w:eastAsia="Malgun Gothic"/>
        </w:rPr>
        <w:t xml:space="preserve"> In the case where transmission direction of each </w:t>
      </w:r>
      <w:r w:rsidR="00F543E8" w:rsidRPr="004F0D45">
        <w:rPr>
          <w:rFonts w:eastAsia="Malgun Gothic"/>
        </w:rPr>
        <w:t>SBFD symbol</w:t>
      </w:r>
      <w:r w:rsidR="00FF371D" w:rsidRPr="004F0D45">
        <w:rPr>
          <w:rFonts w:eastAsia="Malgun Gothic"/>
        </w:rPr>
        <w:t xml:space="preserve"> is preconfigured semi-statically, Option 2 can be used to achieve scheduling flexibility. </w:t>
      </w:r>
      <w:r w:rsidR="00AC447C" w:rsidRPr="004F0D45">
        <w:rPr>
          <w:rFonts w:eastAsia="Malgun Gothic"/>
        </w:rPr>
        <w:t xml:space="preserve">Such flexibility </w:t>
      </w:r>
      <w:r w:rsidR="00FF371D" w:rsidRPr="004F0D45">
        <w:rPr>
          <w:rFonts w:eastAsia="Malgun Gothic"/>
        </w:rPr>
        <w:t>can be u</w:t>
      </w:r>
      <w:r w:rsidR="00AC447C" w:rsidRPr="004F0D45">
        <w:rPr>
          <w:rFonts w:eastAsia="Malgun Gothic"/>
        </w:rPr>
        <w:t>seful</w:t>
      </w:r>
      <w:r w:rsidR="00FF371D" w:rsidRPr="004F0D45">
        <w:rPr>
          <w:rFonts w:eastAsia="Malgun Gothic"/>
        </w:rPr>
        <w:t xml:space="preserve"> </w:t>
      </w:r>
      <w:r w:rsidR="00AC447C" w:rsidRPr="004F0D45">
        <w:rPr>
          <w:rFonts w:eastAsia="Malgun Gothic"/>
        </w:rPr>
        <w:t>for</w:t>
      </w:r>
      <w:r w:rsidR="00FF371D" w:rsidRPr="004F0D45">
        <w:rPr>
          <w:rFonts w:eastAsia="Malgun Gothic"/>
        </w:rPr>
        <w:t xml:space="preserve"> CLI measurements </w:t>
      </w:r>
      <w:r w:rsidR="00F36BDE" w:rsidRPr="004F0D45">
        <w:rPr>
          <w:rFonts w:eastAsia="Malgun Gothic"/>
        </w:rPr>
        <w:t>outside the DL subbands, e.g., SRS-RSRP and CLI-RSSI measurements on UL subband or SRS-RSRP measurements on guard band resources. Therefore</w:t>
      </w:r>
      <w:r w:rsidR="00A32238" w:rsidRPr="004F0D45">
        <w:rPr>
          <w:rFonts w:eastAsia="Malgun Gothic"/>
        </w:rPr>
        <w:t>,</w:t>
      </w:r>
      <w:r w:rsidR="00F36BDE" w:rsidRPr="004F0D45">
        <w:rPr>
          <w:rFonts w:eastAsia="Malgun Gothic"/>
        </w:rPr>
        <w:t xml:space="preserve"> Option 2 should also be </w:t>
      </w:r>
      <w:r w:rsidR="00EE6CA4" w:rsidRPr="004F0D45">
        <w:rPr>
          <w:rFonts w:eastAsia="Malgun Gothic"/>
        </w:rPr>
        <w:t>support</w:t>
      </w:r>
      <w:r w:rsidR="00F36BDE" w:rsidRPr="004F0D45">
        <w:rPr>
          <w:rFonts w:eastAsia="Malgun Gothic"/>
        </w:rPr>
        <w:t xml:space="preserve">. </w:t>
      </w:r>
      <w:r w:rsidR="00910E3D" w:rsidRPr="004F0D45">
        <w:rPr>
          <w:rFonts w:eastAsia="Malgun Gothic"/>
        </w:rPr>
        <w:t>For better flexibility, Option 2</w:t>
      </w:r>
      <w:r w:rsidR="00AC447C" w:rsidRPr="004F0D45">
        <w:rPr>
          <w:rFonts w:eastAsia="Malgun Gothic"/>
        </w:rPr>
        <w:t xml:space="preserve"> can be supported based on UE capability or can be enabled/disabled by a higher layer parameter.</w:t>
      </w:r>
      <w:r w:rsidR="00910E3D" w:rsidRPr="004F0D45">
        <w:rPr>
          <w:rFonts w:eastAsia="Malgun Gothic"/>
        </w:rPr>
        <w:t xml:space="preserve"> </w:t>
      </w:r>
    </w:p>
    <w:p w14:paraId="7C3D3257" w14:textId="322F844F" w:rsidR="00D826BB" w:rsidRPr="004F0D45" w:rsidRDefault="00D826BB" w:rsidP="004B29F6">
      <w:pPr>
        <w:spacing w:after="0"/>
        <w:contextualSpacing/>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8</w:t>
      </w:r>
      <w:r w:rsidRPr="004F0D45">
        <w:rPr>
          <w:b/>
          <w:bCs/>
          <w:i/>
          <w:iCs/>
        </w:rPr>
        <w:fldChar w:fldCharType="end"/>
      </w:r>
      <w:r w:rsidRPr="004F0D45">
        <w:rPr>
          <w:rFonts w:cstheme="minorHAnsi"/>
          <w:b/>
          <w:bCs/>
          <w:i/>
          <w:iCs/>
        </w:rPr>
        <w:t xml:space="preserve">: </w:t>
      </w:r>
      <w:bookmarkStart w:id="16" w:name="_Ref131537580"/>
      <w:bookmarkStart w:id="17" w:name="_Ref131597098"/>
      <w:r w:rsidRPr="004F0D45">
        <w:rPr>
          <w:b/>
          <w:bCs/>
          <w:i/>
          <w:iCs/>
        </w:rPr>
        <w:t xml:space="preserve">For a SBFD aware UE semi-statically configured with UL subband in </w:t>
      </w:r>
      <w:r w:rsidRPr="004F0D45">
        <w:rPr>
          <w:rFonts w:eastAsia="Malgun Gothic"/>
          <w:b/>
          <w:bCs/>
          <w:i/>
          <w:iCs/>
          <w:lang w:eastAsia="zh-CN"/>
        </w:rPr>
        <w:t>a symbol configured as DL in TDD-UL-DL-</w:t>
      </w:r>
      <w:proofErr w:type="spellStart"/>
      <w:r w:rsidRPr="004F0D45">
        <w:rPr>
          <w:rFonts w:eastAsia="Malgun Gothic"/>
          <w:b/>
          <w:bCs/>
          <w:i/>
          <w:iCs/>
          <w:lang w:eastAsia="zh-CN"/>
        </w:rPr>
        <w:t>ConfigCommon</w:t>
      </w:r>
      <w:proofErr w:type="spellEnd"/>
      <w:r w:rsidRPr="004F0D45">
        <w:rPr>
          <w:b/>
          <w:bCs/>
          <w:i/>
          <w:iCs/>
        </w:rPr>
        <w:t>,</w:t>
      </w:r>
      <w:bookmarkEnd w:id="16"/>
      <w:r w:rsidRPr="004F0D45">
        <w:rPr>
          <w:b/>
          <w:bCs/>
          <w:i/>
          <w:iCs/>
        </w:rPr>
        <w:t xml:space="preserve"> </w:t>
      </w:r>
      <w:r w:rsidR="003F236A" w:rsidRPr="004F0D45">
        <w:rPr>
          <w:b/>
          <w:bCs/>
          <w:i/>
          <w:iCs/>
        </w:rPr>
        <w:t>s</w:t>
      </w:r>
      <w:r w:rsidR="00D73D43" w:rsidRPr="004F0D45">
        <w:rPr>
          <w:b/>
          <w:bCs/>
          <w:i/>
          <w:iCs/>
        </w:rPr>
        <w:t>upport both Option</w:t>
      </w:r>
      <w:r w:rsidR="003F236A" w:rsidRPr="004F0D45">
        <w:rPr>
          <w:b/>
          <w:bCs/>
          <w:i/>
          <w:iCs/>
        </w:rPr>
        <w:t xml:space="preserve"> 1 and Option 2.</w:t>
      </w:r>
      <w:bookmarkEnd w:id="17"/>
      <w:r w:rsidR="003F236A" w:rsidRPr="004F0D45">
        <w:rPr>
          <w:b/>
          <w:bCs/>
          <w:i/>
          <w:iCs/>
        </w:rPr>
        <w:t xml:space="preserve"> </w:t>
      </w:r>
    </w:p>
    <w:p w14:paraId="7DE92C15" w14:textId="06501551" w:rsidR="00D826BB" w:rsidRPr="004F0D45" w:rsidRDefault="00AC447C">
      <w:pPr>
        <w:pStyle w:val="ListParagraph"/>
        <w:numPr>
          <w:ilvl w:val="0"/>
          <w:numId w:val="16"/>
        </w:numPr>
        <w:spacing w:after="120"/>
        <w:ind w:left="714" w:hanging="357"/>
        <w:contextualSpacing w:val="0"/>
        <w:jc w:val="both"/>
        <w:rPr>
          <w:b/>
          <w:bCs/>
          <w:i/>
          <w:iCs/>
          <w:sz w:val="20"/>
          <w:szCs w:val="20"/>
        </w:rPr>
      </w:pPr>
      <w:r w:rsidRPr="004F0D45">
        <w:rPr>
          <w:b/>
          <w:bCs/>
          <w:i/>
          <w:iCs/>
          <w:sz w:val="20"/>
          <w:szCs w:val="20"/>
        </w:rPr>
        <w:t>Option 2 can be supported based on UE capability or can be enabled/disabled by a higher layer parameter</w:t>
      </w:r>
    </w:p>
    <w:p w14:paraId="331D26E1" w14:textId="77777777" w:rsidR="00305493" w:rsidRPr="004F0D45" w:rsidRDefault="00305493" w:rsidP="006635DA">
      <w:pPr>
        <w:spacing w:after="0"/>
        <w:contextualSpacing/>
        <w:jc w:val="both"/>
        <w:rPr>
          <w:rFonts w:eastAsia="Malgun Gothic"/>
          <w:b/>
          <w:bCs/>
          <w:u w:val="single"/>
        </w:rPr>
      </w:pPr>
      <w:r w:rsidRPr="004F0D45">
        <w:rPr>
          <w:b/>
          <w:bCs/>
          <w:u w:val="single"/>
        </w:rPr>
        <w:t xml:space="preserve">Case 2: </w:t>
      </w:r>
      <w:r w:rsidRPr="004F0D45">
        <w:rPr>
          <w:rFonts w:eastAsia="Malgun Gothic"/>
          <w:b/>
          <w:bCs/>
          <w:u w:val="single"/>
        </w:rPr>
        <w:t xml:space="preserve">UL subband in a symbol </w:t>
      </w:r>
      <w:r w:rsidRPr="004F0D45">
        <w:rPr>
          <w:b/>
          <w:bCs/>
          <w:u w:val="single"/>
        </w:rPr>
        <w:t xml:space="preserve">configured as flexible in </w:t>
      </w:r>
      <w:r w:rsidRPr="004F0D45">
        <w:rPr>
          <w:b/>
          <w:bCs/>
          <w:i/>
          <w:iCs/>
          <w:u w:val="single"/>
        </w:rPr>
        <w:t>TDD-UL-DL-</w:t>
      </w:r>
      <w:proofErr w:type="spellStart"/>
      <w:r w:rsidRPr="004F0D45">
        <w:rPr>
          <w:b/>
          <w:bCs/>
          <w:i/>
          <w:iCs/>
          <w:u w:val="single"/>
        </w:rPr>
        <w:t>ConfigCommon</w:t>
      </w:r>
      <w:proofErr w:type="spellEnd"/>
    </w:p>
    <w:p w14:paraId="58B17C59" w14:textId="59611E8D" w:rsidR="000D2EED" w:rsidRPr="004F0D45" w:rsidRDefault="00784B3D" w:rsidP="005A07CF">
      <w:pPr>
        <w:spacing w:after="120"/>
        <w:jc w:val="both"/>
      </w:pPr>
      <w:r w:rsidRPr="004F0D45">
        <w:rPr>
          <w:rFonts w:eastAsia="Malgun Gothic"/>
        </w:rPr>
        <w:t xml:space="preserve">Similar to Case 1, </w:t>
      </w:r>
      <w:r w:rsidRPr="004F0D45">
        <w:t xml:space="preserve">Option 1 in this case can provide better protection against CLI compared to Option 2 and Option 3. However, both Option 2 and Option 3 allows more scheduling flexibility than Option 1. </w:t>
      </w:r>
      <w:r w:rsidR="0015521D" w:rsidRPr="004F0D45">
        <w:t xml:space="preserve">Option 3 achieve the highest </w:t>
      </w:r>
      <w:r w:rsidR="0015521D" w:rsidRPr="004F0D45">
        <w:lastRenderedPageBreak/>
        <w:t>flexibility since</w:t>
      </w:r>
      <w:r w:rsidR="00E01413" w:rsidRPr="004F0D45">
        <w:t xml:space="preserve"> it can allow transmission and reception outside </w:t>
      </w:r>
      <w:r w:rsidR="0015521D" w:rsidRPr="004F0D45">
        <w:t>semi-statically configured UL subband and semi-statically configured DL subbands</w:t>
      </w:r>
      <w:r w:rsidR="00E01413" w:rsidRPr="004F0D45">
        <w:t>, respectively</w:t>
      </w:r>
      <w:r w:rsidR="0015521D" w:rsidRPr="004F0D45">
        <w:t xml:space="preserve">. Moreover, legacy UEs operate in Option 3 for symbols configured as flexible in </w:t>
      </w:r>
      <w:r w:rsidR="0015521D" w:rsidRPr="004F0D45">
        <w:rPr>
          <w:i/>
          <w:iCs/>
        </w:rPr>
        <w:t>TDD-UL-DL-</w:t>
      </w:r>
      <w:proofErr w:type="spellStart"/>
      <w:r w:rsidR="0015521D" w:rsidRPr="004F0D45">
        <w:rPr>
          <w:i/>
          <w:iCs/>
        </w:rPr>
        <w:t>ConfigCommon</w:t>
      </w:r>
      <w:proofErr w:type="spellEnd"/>
      <w:r w:rsidR="0015521D" w:rsidRPr="004F0D45">
        <w:rPr>
          <w:i/>
          <w:iCs/>
        </w:rPr>
        <w:t xml:space="preserve">, </w:t>
      </w:r>
      <w:r w:rsidR="0015521D" w:rsidRPr="004F0D45">
        <w:t xml:space="preserve">i.e., flexible symbols can be converted to either DL or UL symbols. Therefore, both Option 1 and Option 3 can be supported in this case. </w:t>
      </w:r>
      <w:r w:rsidR="0015521D" w:rsidRPr="004F0D45">
        <w:rPr>
          <w:rFonts w:eastAsia="Malgun Gothic"/>
        </w:rPr>
        <w:t xml:space="preserve">For better flexibility, </w:t>
      </w:r>
      <w:r w:rsidR="000D2EED" w:rsidRPr="004F0D45">
        <w:rPr>
          <w:rFonts w:eastAsia="Malgun Gothic"/>
        </w:rPr>
        <w:t xml:space="preserve">Option 3 can be supported based on UE capability or can be enabled/disabled by a higher layer parameter. </w:t>
      </w:r>
    </w:p>
    <w:p w14:paraId="1F52DB4F" w14:textId="37240B25" w:rsidR="00B42DAB" w:rsidRPr="004F0D45" w:rsidRDefault="00B42DAB" w:rsidP="004B29F6">
      <w:pPr>
        <w:spacing w:after="0"/>
        <w:contextualSpacing/>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9</w:t>
      </w:r>
      <w:r w:rsidRPr="004F0D45">
        <w:rPr>
          <w:b/>
          <w:bCs/>
          <w:i/>
          <w:iCs/>
        </w:rPr>
        <w:fldChar w:fldCharType="end"/>
      </w:r>
      <w:r w:rsidRPr="004F0D45">
        <w:rPr>
          <w:rFonts w:cstheme="minorHAnsi"/>
          <w:b/>
          <w:bCs/>
          <w:i/>
          <w:iCs/>
        </w:rPr>
        <w:t xml:space="preserve">: </w:t>
      </w:r>
      <w:bookmarkStart w:id="18" w:name="_Ref131537594"/>
      <w:bookmarkStart w:id="19" w:name="_Ref131597109"/>
      <w:r w:rsidRPr="004F0D45">
        <w:rPr>
          <w:b/>
          <w:bCs/>
          <w:i/>
          <w:iCs/>
        </w:rPr>
        <w:t xml:space="preserve">For a SBFD aware UE semi-statically configured with UL subband in </w:t>
      </w:r>
      <w:r w:rsidRPr="004F0D45">
        <w:rPr>
          <w:rFonts w:eastAsia="Malgun Gothic"/>
          <w:b/>
          <w:bCs/>
          <w:i/>
          <w:iCs/>
          <w:lang w:eastAsia="zh-CN"/>
        </w:rPr>
        <w:t>a symbol configured as flexible in TDD-UL-DL-</w:t>
      </w:r>
      <w:proofErr w:type="spellStart"/>
      <w:r w:rsidRPr="004F0D45">
        <w:rPr>
          <w:rFonts w:eastAsia="Malgun Gothic"/>
          <w:b/>
          <w:bCs/>
          <w:i/>
          <w:iCs/>
          <w:lang w:eastAsia="zh-CN"/>
        </w:rPr>
        <w:t>ConfigCommon</w:t>
      </w:r>
      <w:proofErr w:type="spellEnd"/>
      <w:r w:rsidRPr="004F0D45">
        <w:rPr>
          <w:b/>
          <w:bCs/>
          <w:i/>
          <w:iCs/>
        </w:rPr>
        <w:t xml:space="preserve">, </w:t>
      </w:r>
      <w:bookmarkEnd w:id="18"/>
      <w:r w:rsidR="00531420" w:rsidRPr="004F0D45">
        <w:rPr>
          <w:b/>
          <w:bCs/>
          <w:i/>
          <w:iCs/>
        </w:rPr>
        <w:t>s</w:t>
      </w:r>
      <w:r w:rsidR="00D73D43" w:rsidRPr="004F0D45">
        <w:rPr>
          <w:b/>
          <w:bCs/>
          <w:i/>
          <w:iCs/>
        </w:rPr>
        <w:t>upport Option 1 and Option 3</w:t>
      </w:r>
      <w:bookmarkEnd w:id="19"/>
    </w:p>
    <w:p w14:paraId="09E063AF" w14:textId="0518EA3F" w:rsidR="000D2EED" w:rsidRPr="004F0D45" w:rsidRDefault="000D2EED">
      <w:pPr>
        <w:pStyle w:val="ListParagraph"/>
        <w:numPr>
          <w:ilvl w:val="0"/>
          <w:numId w:val="16"/>
        </w:numPr>
        <w:jc w:val="both"/>
        <w:rPr>
          <w:b/>
          <w:bCs/>
          <w:i/>
          <w:iCs/>
          <w:sz w:val="20"/>
          <w:szCs w:val="20"/>
        </w:rPr>
      </w:pPr>
      <w:r w:rsidRPr="004F0D45">
        <w:rPr>
          <w:b/>
          <w:bCs/>
          <w:i/>
          <w:iCs/>
          <w:sz w:val="20"/>
          <w:szCs w:val="20"/>
        </w:rPr>
        <w:t>Option 3 can be supported based on UE capability or can be enabled/disabled by a higher layer parameter</w:t>
      </w:r>
    </w:p>
    <w:p w14:paraId="07C8AF06" w14:textId="75958C89" w:rsidR="00C26688" w:rsidRPr="004F0D45" w:rsidRDefault="00531420">
      <w:pPr>
        <w:pStyle w:val="ListParagraph"/>
        <w:numPr>
          <w:ilvl w:val="0"/>
          <w:numId w:val="16"/>
        </w:numPr>
        <w:jc w:val="both"/>
        <w:rPr>
          <w:b/>
          <w:bCs/>
          <w:i/>
          <w:iCs/>
          <w:sz w:val="20"/>
          <w:szCs w:val="20"/>
        </w:rPr>
      </w:pPr>
      <w:r w:rsidRPr="004F0D45">
        <w:rPr>
          <w:b/>
          <w:bCs/>
          <w:i/>
          <w:iCs/>
          <w:sz w:val="20"/>
          <w:szCs w:val="20"/>
        </w:rPr>
        <w:t xml:space="preserve">Option 2 is not excluded at this stage </w:t>
      </w:r>
    </w:p>
    <w:p w14:paraId="13BA5C8A" w14:textId="5575C126" w:rsidR="006C5D5B" w:rsidRPr="004F0D45" w:rsidRDefault="006C5D5B" w:rsidP="005D664D">
      <w:pPr>
        <w:pStyle w:val="Heading3"/>
        <w:spacing w:before="240"/>
        <w:jc w:val="both"/>
      </w:pPr>
      <w:bookmarkStart w:id="20" w:name="_Ref118275469"/>
      <w:r w:rsidRPr="004F0D45">
        <w:t xml:space="preserve">Configuration allowing non-contiguous SBFD symbols </w:t>
      </w:r>
      <w:bookmarkEnd w:id="20"/>
    </w:p>
    <w:p w14:paraId="2E2CFFE7" w14:textId="79FA8952" w:rsidR="002B0636" w:rsidRPr="004F0D45" w:rsidRDefault="00BF1879" w:rsidP="00BF1879">
      <w:pPr>
        <w:spacing w:after="0"/>
        <w:contextualSpacing/>
        <w:jc w:val="both"/>
      </w:pPr>
      <w:bookmarkStart w:id="21" w:name="_Hlk118360305"/>
      <w:r w:rsidRPr="004F0D45">
        <w:t xml:space="preserve">In RAN1#112, it was agreed to study </w:t>
      </w:r>
      <w:r w:rsidRPr="004F0D45">
        <w:rPr>
          <w:rFonts w:eastAsia="Malgun Gothic" w:cs="Times"/>
          <w:lang w:eastAsia="zh-CN"/>
        </w:rPr>
        <w:t xml:space="preserve">whether or not a slot can consist of both SBFD and non-SBFD symbols. </w:t>
      </w:r>
      <w:r w:rsidR="006C5D5B" w:rsidRPr="004F0D45">
        <w:t>To motivate the configuration scenario of non-contiguous SBFD s</w:t>
      </w:r>
      <w:r w:rsidRPr="004F0D45">
        <w:t>lots (a slot containing both S</w:t>
      </w:r>
      <w:r w:rsidRPr="004F0D45">
        <w:rPr>
          <w:rFonts w:eastAsia="Malgun Gothic" w:cs="Times"/>
          <w:lang w:eastAsia="zh-CN"/>
        </w:rPr>
        <w:t>BFD and non-SBFD symbols</w:t>
      </w:r>
      <w:r w:rsidRPr="004F0D45">
        <w:t>)</w:t>
      </w:r>
      <w:r w:rsidR="006C5D5B" w:rsidRPr="004F0D45">
        <w:t>, the latency and resource utilization overhead of three scenarios will be compared along with the respective assumptions on the deployment context and the impact on intra- and inter-cell CLI. Some illustration of the SBFD gains in comparison to TDD are also offered.</w:t>
      </w:r>
    </w:p>
    <w:p w14:paraId="1B731836" w14:textId="77777777" w:rsidR="00BF1879" w:rsidRPr="004F0D45" w:rsidRDefault="00BF1879" w:rsidP="00BF1879">
      <w:pPr>
        <w:spacing w:after="0"/>
        <w:contextualSpacing/>
        <w:jc w:val="both"/>
      </w:pPr>
    </w:p>
    <w:p w14:paraId="71509A88" w14:textId="77777777" w:rsidR="00095EE3" w:rsidRPr="004F0D45" w:rsidRDefault="00095EE3" w:rsidP="00BF1879">
      <w:pPr>
        <w:spacing w:after="0"/>
        <w:ind w:right="-851"/>
        <w:contextualSpacing/>
        <w:jc w:val="both"/>
      </w:pPr>
      <w:r w:rsidRPr="004F0D45">
        <w:rPr>
          <w:b/>
          <w:bCs/>
        </w:rPr>
        <w:t>TDD deployment “A”:</w:t>
      </w:r>
      <w:r w:rsidRPr="004F0D45">
        <w:t xml:space="preserve"> Conventional TDD deployment using DDDSU (S: 8D, 4F, 2U) frame format. This choice is motivated by perfect alignment with co-channel and adjacent channel alignment and downlink heavy traffic. </w:t>
      </w:r>
    </w:p>
    <w:p w14:paraId="3C4534E3" w14:textId="77777777" w:rsidR="00095EE3" w:rsidRPr="004F0D45" w:rsidRDefault="00095EE3" w:rsidP="002B0636">
      <w:pPr>
        <w:spacing w:after="0"/>
        <w:ind w:right="-851"/>
        <w:contextualSpacing/>
        <w:jc w:val="both"/>
      </w:pPr>
      <w:r w:rsidRPr="004F0D45">
        <w:rPr>
          <w:b/>
          <w:bCs/>
        </w:rPr>
        <w:t>Non-contiguous SBFD deployment “B”:</w:t>
      </w:r>
      <w:r w:rsidRPr="004F0D45">
        <w:t xml:space="preserve"> Modifying the baseline TDD format used in deployment “A”, UL subbands are inserted in a few DL symbols uniformly distributed over the TDD pattern. </w:t>
      </w:r>
    </w:p>
    <w:p w14:paraId="460ACE71" w14:textId="40EC59FC" w:rsidR="00095EE3" w:rsidRPr="004F0D45" w:rsidRDefault="00095EE3">
      <w:pPr>
        <w:pStyle w:val="ListParagraph"/>
        <w:numPr>
          <w:ilvl w:val="0"/>
          <w:numId w:val="13"/>
        </w:numPr>
        <w:tabs>
          <w:tab w:val="num" w:pos="360"/>
        </w:tabs>
        <w:ind w:left="714" w:right="-851" w:hanging="357"/>
        <w:jc w:val="both"/>
        <w:rPr>
          <w:sz w:val="20"/>
          <w:szCs w:val="20"/>
        </w:rPr>
      </w:pPr>
      <w:r w:rsidRPr="004F0D45">
        <w:rPr>
          <w:sz w:val="20"/>
          <w:szCs w:val="20"/>
        </w:rPr>
        <w:t xml:space="preserve">In </w:t>
      </w:r>
      <w:r w:rsidR="004B29F6" w:rsidRPr="004F0D45">
        <w:rPr>
          <w:b/>
          <w:bCs/>
          <w:sz w:val="20"/>
          <w:szCs w:val="20"/>
          <w:bdr w:val="none" w:sz="0" w:space="0" w:color="auto" w:frame="1"/>
        </w:rPr>
        <w:fldChar w:fldCharType="begin"/>
      </w:r>
      <w:r w:rsidR="004B29F6" w:rsidRPr="004F0D45">
        <w:rPr>
          <w:b/>
          <w:bCs/>
          <w:sz w:val="20"/>
          <w:szCs w:val="20"/>
          <w:bdr w:val="none" w:sz="0" w:space="0" w:color="auto" w:frame="1"/>
        </w:rPr>
        <w:instrText xml:space="preserve"> REF _Ref131670535 \h  \* MERGEFORMAT </w:instrText>
      </w:r>
      <w:r w:rsidR="004B29F6" w:rsidRPr="004F0D45">
        <w:rPr>
          <w:b/>
          <w:bCs/>
          <w:sz w:val="20"/>
          <w:szCs w:val="20"/>
          <w:bdr w:val="none" w:sz="0" w:space="0" w:color="auto" w:frame="1"/>
        </w:rPr>
      </w:r>
      <w:r w:rsidR="004B29F6" w:rsidRPr="004F0D45">
        <w:rPr>
          <w:b/>
          <w:bCs/>
          <w:sz w:val="20"/>
          <w:szCs w:val="20"/>
          <w:bdr w:val="none" w:sz="0" w:space="0" w:color="auto" w:frame="1"/>
        </w:rPr>
        <w:fldChar w:fldCharType="separate"/>
      </w:r>
      <w:r w:rsidR="00F230AB" w:rsidRPr="004F0D45">
        <w:rPr>
          <w:b/>
          <w:bCs/>
          <w:sz w:val="20"/>
          <w:szCs w:val="20"/>
          <w:bdr w:val="none" w:sz="0" w:space="0" w:color="auto" w:frame="1"/>
        </w:rPr>
        <w:t xml:space="preserve">Figure </w:t>
      </w:r>
      <w:r w:rsidR="00F230AB" w:rsidRPr="004F0D45">
        <w:rPr>
          <w:b/>
          <w:bCs/>
          <w:noProof/>
          <w:sz w:val="20"/>
          <w:szCs w:val="20"/>
        </w:rPr>
        <w:t>2</w:t>
      </w:r>
      <w:r w:rsidR="004B29F6" w:rsidRPr="004F0D45">
        <w:rPr>
          <w:b/>
          <w:bCs/>
          <w:sz w:val="20"/>
          <w:szCs w:val="20"/>
          <w:bdr w:val="none" w:sz="0" w:space="0" w:color="auto" w:frame="1"/>
        </w:rPr>
        <w:fldChar w:fldCharType="end"/>
      </w:r>
      <w:r w:rsidRPr="004F0D45">
        <w:rPr>
          <w:b/>
          <w:bCs/>
          <w:sz w:val="20"/>
          <w:szCs w:val="20"/>
        </w:rPr>
        <w:t>, Pattern 2</w:t>
      </w:r>
      <w:r w:rsidRPr="004F0D45">
        <w:rPr>
          <w:sz w:val="20"/>
          <w:szCs w:val="20"/>
        </w:rPr>
        <w:t xml:space="preserve"> corresponds to the this TDD format.</w:t>
      </w:r>
    </w:p>
    <w:p w14:paraId="279EA70F" w14:textId="77777777" w:rsidR="00095EE3" w:rsidRPr="004F0D45" w:rsidRDefault="00095EE3" w:rsidP="002B0636">
      <w:pPr>
        <w:spacing w:after="0"/>
        <w:ind w:right="-851"/>
        <w:contextualSpacing/>
        <w:jc w:val="both"/>
      </w:pPr>
      <w:r w:rsidRPr="004F0D45">
        <w:rPr>
          <w:b/>
          <w:bCs/>
        </w:rPr>
        <w:t>Contiguous SBFD deployment “C”:</w:t>
      </w:r>
      <w:r w:rsidRPr="004F0D45">
        <w:t xml:space="preserve"> DSSSU frame format used where all S slots have an UL subband. </w:t>
      </w:r>
    </w:p>
    <w:p w14:paraId="3B7368DF" w14:textId="0637A2B7" w:rsidR="00DF3EBB" w:rsidRPr="004F0D45" w:rsidRDefault="00095EE3">
      <w:pPr>
        <w:pStyle w:val="ListParagraph"/>
        <w:numPr>
          <w:ilvl w:val="0"/>
          <w:numId w:val="13"/>
        </w:numPr>
        <w:tabs>
          <w:tab w:val="num" w:pos="360"/>
        </w:tabs>
        <w:ind w:left="714" w:right="-851" w:hanging="357"/>
        <w:jc w:val="both"/>
        <w:rPr>
          <w:sz w:val="20"/>
          <w:szCs w:val="20"/>
        </w:rPr>
      </w:pPr>
      <w:r w:rsidRPr="004F0D45">
        <w:rPr>
          <w:sz w:val="20"/>
          <w:szCs w:val="20"/>
        </w:rPr>
        <w:t>In</w:t>
      </w:r>
      <w:r w:rsidR="004B29F6" w:rsidRPr="004F0D45">
        <w:rPr>
          <w:sz w:val="20"/>
          <w:szCs w:val="20"/>
        </w:rPr>
        <w:t xml:space="preserve"> </w:t>
      </w:r>
      <w:r w:rsidR="004B29F6" w:rsidRPr="004F0D45">
        <w:rPr>
          <w:b/>
          <w:bCs/>
          <w:sz w:val="20"/>
          <w:szCs w:val="20"/>
          <w:bdr w:val="none" w:sz="0" w:space="0" w:color="auto" w:frame="1"/>
        </w:rPr>
        <w:fldChar w:fldCharType="begin"/>
      </w:r>
      <w:r w:rsidR="004B29F6" w:rsidRPr="004F0D45">
        <w:rPr>
          <w:b/>
          <w:bCs/>
          <w:sz w:val="20"/>
          <w:szCs w:val="20"/>
          <w:bdr w:val="none" w:sz="0" w:space="0" w:color="auto" w:frame="1"/>
        </w:rPr>
        <w:instrText xml:space="preserve"> REF _Ref131670535 \h  \* MERGEFORMAT </w:instrText>
      </w:r>
      <w:r w:rsidR="004B29F6" w:rsidRPr="004F0D45">
        <w:rPr>
          <w:b/>
          <w:bCs/>
          <w:sz w:val="20"/>
          <w:szCs w:val="20"/>
          <w:bdr w:val="none" w:sz="0" w:space="0" w:color="auto" w:frame="1"/>
        </w:rPr>
      </w:r>
      <w:r w:rsidR="004B29F6" w:rsidRPr="004F0D45">
        <w:rPr>
          <w:b/>
          <w:bCs/>
          <w:sz w:val="20"/>
          <w:szCs w:val="20"/>
          <w:bdr w:val="none" w:sz="0" w:space="0" w:color="auto" w:frame="1"/>
        </w:rPr>
        <w:fldChar w:fldCharType="separate"/>
      </w:r>
      <w:r w:rsidR="00F230AB" w:rsidRPr="004F0D45">
        <w:rPr>
          <w:b/>
          <w:bCs/>
          <w:sz w:val="20"/>
          <w:szCs w:val="20"/>
          <w:bdr w:val="none" w:sz="0" w:space="0" w:color="auto" w:frame="1"/>
        </w:rPr>
        <w:t xml:space="preserve">Figure </w:t>
      </w:r>
      <w:r w:rsidR="00F230AB" w:rsidRPr="004F0D45">
        <w:rPr>
          <w:b/>
          <w:bCs/>
          <w:noProof/>
          <w:sz w:val="20"/>
          <w:szCs w:val="20"/>
        </w:rPr>
        <w:t>2</w:t>
      </w:r>
      <w:r w:rsidR="004B29F6" w:rsidRPr="004F0D45">
        <w:rPr>
          <w:b/>
          <w:bCs/>
          <w:sz w:val="20"/>
          <w:szCs w:val="20"/>
          <w:bdr w:val="none" w:sz="0" w:space="0" w:color="auto" w:frame="1"/>
        </w:rPr>
        <w:fldChar w:fldCharType="end"/>
      </w:r>
      <w:r w:rsidRPr="004F0D45">
        <w:rPr>
          <w:b/>
          <w:bCs/>
          <w:sz w:val="20"/>
          <w:szCs w:val="20"/>
        </w:rPr>
        <w:t>, Pattern 1</w:t>
      </w:r>
      <w:r w:rsidRPr="004F0D45">
        <w:rPr>
          <w:sz w:val="20"/>
          <w:szCs w:val="20"/>
        </w:rPr>
        <w:t xml:space="preserve"> corresponds to the this TDD format.</w:t>
      </w:r>
    </w:p>
    <w:bookmarkEnd w:id="21"/>
    <w:p w14:paraId="3BD7AE11" w14:textId="27088816" w:rsidR="006C5D5B" w:rsidRPr="004F0D45" w:rsidRDefault="006C5D5B" w:rsidP="005D664D">
      <w:pPr>
        <w:spacing w:before="240"/>
        <w:jc w:val="both"/>
      </w:pPr>
      <w:r w:rsidRPr="004F0D45">
        <w:fldChar w:fldCharType="begin"/>
      </w:r>
      <w:r w:rsidRPr="004F0D45">
        <w:instrText xml:space="preserve"> REF _Ref118334430 \h  \* MERGEFORMAT </w:instrText>
      </w:r>
      <w:r w:rsidRPr="004F0D45">
        <w:fldChar w:fldCharType="separate"/>
      </w:r>
      <w:r w:rsidR="00F230AB" w:rsidRPr="004F0D45">
        <w:rPr>
          <w:bdr w:val="none" w:sz="0" w:space="0" w:color="auto" w:frame="1"/>
        </w:rPr>
        <w:t xml:space="preserve">Figure </w:t>
      </w:r>
      <w:r w:rsidR="00F230AB" w:rsidRPr="004F0D45">
        <w:rPr>
          <w:noProof/>
        </w:rPr>
        <w:t>4</w:t>
      </w:r>
      <w:r w:rsidRPr="004F0D45">
        <w:fldChar w:fldCharType="end"/>
      </w:r>
      <w:r w:rsidRPr="004F0D45">
        <w:t xml:space="preserve"> shows the probability distribution of minimum downlink transmission latency for the delivery of a 14 OS PDSCH radio packet assuming a single retransmission, for the three deployment scenarios, assuming UE capability 1. These settings may correspond e.g.</w:t>
      </w:r>
      <w:r w:rsidR="00BF1879" w:rsidRPr="004F0D45">
        <w:t>,</w:t>
      </w:r>
      <w:r w:rsidRPr="004F0D45">
        <w:t xml:space="preserve"> to the model of large, hard-deadline TBs in an XR application where the latency budget allows a very few milliseconds for RAN packet delivery. Due to the arbitrary time offset between the transmission request and the switching points, the CDF spreads over a range of 69 to 124 OFDM symbols in this example. (With concurrent requests in the network, the spread can be larger, thus the CDF represents an upper bound of the performance.) As can be seen, the same CDF is obtained with non-contiguous SBFD and contiguous SBFD configurations.</w:t>
      </w:r>
    </w:p>
    <w:p w14:paraId="24EDA5A9" w14:textId="38BC5AAB" w:rsidR="006C5D5B" w:rsidRPr="004F0D45" w:rsidRDefault="006C5D5B" w:rsidP="00C26688">
      <w:pPr>
        <w:jc w:val="center"/>
      </w:pPr>
      <w:r w:rsidRPr="004F0D45">
        <w:rPr>
          <w:noProof/>
        </w:rPr>
        <w:drawing>
          <wp:inline distT="0" distB="0" distL="0" distR="0" wp14:anchorId="2AFEE407" wp14:editId="3E9B9D02">
            <wp:extent cx="2802576" cy="1800369"/>
            <wp:effectExtent l="0" t="0" r="0" b="0"/>
            <wp:docPr id="19" name="Picture 1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 line chart&#10;&#10;Description automatically generated"/>
                    <pic:cNvPicPr/>
                  </pic:nvPicPr>
                  <pic:blipFill>
                    <a:blip r:embed="rId16"/>
                    <a:stretch>
                      <a:fillRect/>
                    </a:stretch>
                  </pic:blipFill>
                  <pic:spPr>
                    <a:xfrm>
                      <a:off x="0" y="0"/>
                      <a:ext cx="2860546" cy="1837609"/>
                    </a:xfrm>
                    <a:prstGeom prst="rect">
                      <a:avLst/>
                    </a:prstGeom>
                  </pic:spPr>
                </pic:pic>
              </a:graphicData>
            </a:graphic>
          </wp:inline>
        </w:drawing>
      </w:r>
    </w:p>
    <w:p w14:paraId="6556B1AD" w14:textId="505334B8" w:rsidR="006C5D5B" w:rsidRPr="004F0D45" w:rsidRDefault="006C5D5B" w:rsidP="00E72A27">
      <w:pPr>
        <w:rPr>
          <w:bdr w:val="none" w:sz="0" w:space="0" w:color="auto" w:frame="1"/>
        </w:rPr>
      </w:pPr>
      <w:bookmarkStart w:id="22" w:name="_Ref118334430"/>
      <w:r w:rsidRPr="004F0D45">
        <w:rPr>
          <w:bdr w:val="none" w:sz="0" w:space="0" w:color="auto" w:frame="1"/>
        </w:rPr>
        <w:t xml:space="preserve">Figure </w:t>
      </w:r>
      <w:r w:rsidRPr="004F0D45">
        <w:fldChar w:fldCharType="begin"/>
      </w:r>
      <w:r w:rsidRPr="004F0D45">
        <w:instrText xml:space="preserve"> SEQ Figure \* ARABIC </w:instrText>
      </w:r>
      <w:r w:rsidRPr="004F0D45">
        <w:fldChar w:fldCharType="separate"/>
      </w:r>
      <w:r w:rsidR="00F230AB" w:rsidRPr="004F0D45">
        <w:rPr>
          <w:noProof/>
        </w:rPr>
        <w:t>4</w:t>
      </w:r>
      <w:r w:rsidRPr="004F0D45">
        <w:fldChar w:fldCharType="end"/>
      </w:r>
      <w:bookmarkEnd w:id="22"/>
      <w:r w:rsidRPr="004F0D45">
        <w:rPr>
          <w:bdr w:val="none" w:sz="0" w:space="0" w:color="auto" w:frame="1"/>
        </w:rPr>
        <w:t xml:space="preserve">: CDF of latency from request to first retransmission decoding, based on arbitrary request time and best-case scheduling. (FR1, SCS=30kHz, TDD: </w:t>
      </w:r>
      <w:r w:rsidRPr="004F0D45">
        <w:t>DDDSU, S:8:4:2, SBFD in “B” and “C” as in Pattern 2 and 1 in</w:t>
      </w:r>
      <w:r w:rsidR="00BC6461" w:rsidRPr="004F0D45">
        <w:t xml:space="preserve"> </w:t>
      </w:r>
      <w:r w:rsidR="00BC6461" w:rsidRPr="004F0D45">
        <w:rPr>
          <w:bdr w:val="none" w:sz="0" w:space="0" w:color="auto" w:frame="1"/>
        </w:rPr>
        <w:fldChar w:fldCharType="begin"/>
      </w:r>
      <w:r w:rsidR="00BC6461" w:rsidRPr="004F0D45">
        <w:rPr>
          <w:bdr w:val="none" w:sz="0" w:space="0" w:color="auto" w:frame="1"/>
        </w:rPr>
        <w:instrText xml:space="preserve"> REF _Ref131670535 \h  \* MERGEFORMAT </w:instrText>
      </w:r>
      <w:r w:rsidR="00BC6461" w:rsidRPr="004F0D45">
        <w:rPr>
          <w:bdr w:val="none" w:sz="0" w:space="0" w:color="auto" w:frame="1"/>
        </w:rPr>
      </w:r>
      <w:r w:rsidR="00BC6461" w:rsidRPr="004F0D45">
        <w:rPr>
          <w:bdr w:val="none" w:sz="0" w:space="0" w:color="auto" w:frame="1"/>
        </w:rPr>
        <w:fldChar w:fldCharType="separate"/>
      </w:r>
      <w:r w:rsidR="00F230AB" w:rsidRPr="004F0D45">
        <w:rPr>
          <w:bdr w:val="none" w:sz="0" w:space="0" w:color="auto" w:frame="1"/>
        </w:rPr>
        <w:t xml:space="preserve">Figure </w:t>
      </w:r>
      <w:r w:rsidR="00F230AB" w:rsidRPr="004F0D45">
        <w:rPr>
          <w:noProof/>
        </w:rPr>
        <w:t>2</w:t>
      </w:r>
      <w:r w:rsidR="00BC6461" w:rsidRPr="004F0D45">
        <w:rPr>
          <w:bdr w:val="none" w:sz="0" w:space="0" w:color="auto" w:frame="1"/>
        </w:rPr>
        <w:fldChar w:fldCharType="end"/>
      </w:r>
      <w:r w:rsidRPr="004F0D45">
        <w:rPr>
          <w:bdr w:val="none" w:sz="0" w:space="0" w:color="auto" w:frame="1"/>
        </w:rPr>
        <w:t>, respectively; UE Capability 1)</w:t>
      </w:r>
    </w:p>
    <w:p w14:paraId="4312A1DF" w14:textId="53A6E832" w:rsidR="006C5D5B" w:rsidRPr="004F0D45" w:rsidRDefault="00C47C24" w:rsidP="005D664D">
      <w:pPr>
        <w:pStyle w:val="Caption"/>
        <w:jc w:val="both"/>
      </w:pPr>
      <w:bookmarkStart w:id="23" w:name="_Ref118361077"/>
      <w:r w:rsidRPr="004F0D45">
        <w:t xml:space="preserve">Table </w:t>
      </w:r>
      <w:r w:rsidRPr="004F0D45">
        <w:fldChar w:fldCharType="begin"/>
      </w:r>
      <w:r w:rsidRPr="004F0D45">
        <w:instrText xml:space="preserve"> SEQ Table \* ARABIC </w:instrText>
      </w:r>
      <w:r w:rsidRPr="004F0D45">
        <w:fldChar w:fldCharType="separate"/>
      </w:r>
      <w:r w:rsidR="00F230AB" w:rsidRPr="004F0D45">
        <w:rPr>
          <w:noProof/>
        </w:rPr>
        <w:t>1</w:t>
      </w:r>
      <w:r w:rsidRPr="004F0D45">
        <w:fldChar w:fldCharType="end"/>
      </w:r>
      <w:bookmarkEnd w:id="23"/>
      <w:r w:rsidRPr="004F0D45">
        <w:t xml:space="preserve">: </w:t>
      </w:r>
      <w:r w:rsidR="006C5D5B" w:rsidRPr="004F0D45">
        <w:t>Comparison of 1-retransmission latencies (assuming UE Capability 1)</w:t>
      </w:r>
    </w:p>
    <w:tbl>
      <w:tblPr>
        <w:tblStyle w:val="TableGrid"/>
        <w:tblW w:w="0" w:type="auto"/>
        <w:tblLook w:val="04A0" w:firstRow="1" w:lastRow="0" w:firstColumn="1" w:lastColumn="0" w:noHBand="0" w:noVBand="1"/>
      </w:tblPr>
      <w:tblGrid>
        <w:gridCol w:w="1271"/>
        <w:gridCol w:w="1040"/>
        <w:gridCol w:w="1044"/>
        <w:gridCol w:w="1046"/>
        <w:gridCol w:w="1045"/>
        <w:gridCol w:w="1046"/>
        <w:gridCol w:w="1046"/>
        <w:gridCol w:w="1045"/>
        <w:gridCol w:w="1046"/>
      </w:tblGrid>
      <w:tr w:rsidR="006C5D5B" w:rsidRPr="004F0D45" w14:paraId="02345763" w14:textId="77777777" w:rsidTr="002A40D9">
        <w:tc>
          <w:tcPr>
            <w:tcW w:w="1271" w:type="dxa"/>
            <w:tcBorders>
              <w:bottom w:val="double" w:sz="4" w:space="0" w:color="auto"/>
            </w:tcBorders>
          </w:tcPr>
          <w:p w14:paraId="3CD8B770" w14:textId="77777777" w:rsidR="006C5D5B" w:rsidRPr="004F0D45" w:rsidRDefault="006C5D5B" w:rsidP="008719E1">
            <w:pPr>
              <w:spacing w:after="0"/>
              <w:contextualSpacing/>
              <w:jc w:val="both"/>
            </w:pPr>
            <w:bookmarkStart w:id="24" w:name="_Hlk118360471"/>
          </w:p>
        </w:tc>
        <w:tc>
          <w:tcPr>
            <w:tcW w:w="2084" w:type="dxa"/>
            <w:gridSpan w:val="2"/>
            <w:tcBorders>
              <w:bottom w:val="double" w:sz="4" w:space="0" w:color="auto"/>
            </w:tcBorders>
          </w:tcPr>
          <w:p w14:paraId="61020BD7" w14:textId="77777777" w:rsidR="006C5D5B" w:rsidRPr="004F0D45" w:rsidRDefault="006C5D5B" w:rsidP="008F3A90">
            <w:pPr>
              <w:spacing w:after="0"/>
              <w:contextualSpacing/>
              <w:jc w:val="center"/>
            </w:pPr>
            <w:r w:rsidRPr="004F0D45">
              <w:t>Baseline TDD</w:t>
            </w:r>
          </w:p>
        </w:tc>
        <w:tc>
          <w:tcPr>
            <w:tcW w:w="3137" w:type="dxa"/>
            <w:gridSpan w:val="3"/>
            <w:tcBorders>
              <w:bottom w:val="double" w:sz="4" w:space="0" w:color="auto"/>
            </w:tcBorders>
          </w:tcPr>
          <w:p w14:paraId="268D343D" w14:textId="77777777" w:rsidR="006C5D5B" w:rsidRPr="004F0D45" w:rsidRDefault="006C5D5B" w:rsidP="008F3A90">
            <w:pPr>
              <w:spacing w:after="0"/>
              <w:contextualSpacing/>
              <w:jc w:val="center"/>
            </w:pPr>
            <w:r w:rsidRPr="004F0D45">
              <w:t>Non-contiguous SBFD</w:t>
            </w:r>
          </w:p>
        </w:tc>
        <w:tc>
          <w:tcPr>
            <w:tcW w:w="3137" w:type="dxa"/>
            <w:gridSpan w:val="3"/>
            <w:tcBorders>
              <w:bottom w:val="double" w:sz="4" w:space="0" w:color="auto"/>
            </w:tcBorders>
          </w:tcPr>
          <w:p w14:paraId="1219C8AD" w14:textId="77777777" w:rsidR="006C5D5B" w:rsidRPr="004F0D45" w:rsidRDefault="006C5D5B" w:rsidP="008F3A90">
            <w:pPr>
              <w:spacing w:after="0"/>
              <w:contextualSpacing/>
              <w:jc w:val="center"/>
            </w:pPr>
            <w:r w:rsidRPr="004F0D45">
              <w:t>Contiguous SBFD</w:t>
            </w:r>
          </w:p>
        </w:tc>
      </w:tr>
      <w:tr w:rsidR="006C5D5B" w:rsidRPr="004F0D45" w14:paraId="76210B01" w14:textId="77777777" w:rsidTr="002A40D9">
        <w:tc>
          <w:tcPr>
            <w:tcW w:w="1271" w:type="dxa"/>
            <w:tcBorders>
              <w:top w:val="double" w:sz="4" w:space="0" w:color="auto"/>
            </w:tcBorders>
          </w:tcPr>
          <w:p w14:paraId="2D092FD5" w14:textId="77777777" w:rsidR="006C5D5B" w:rsidRPr="004F0D45" w:rsidRDefault="006C5D5B" w:rsidP="008F3A90">
            <w:pPr>
              <w:spacing w:after="0"/>
              <w:contextualSpacing/>
              <w:jc w:val="center"/>
            </w:pPr>
            <w:r w:rsidRPr="004F0D45">
              <w:t>1-retrx</w:t>
            </w:r>
          </w:p>
        </w:tc>
        <w:tc>
          <w:tcPr>
            <w:tcW w:w="1040" w:type="dxa"/>
            <w:tcBorders>
              <w:top w:val="double" w:sz="4" w:space="0" w:color="auto"/>
            </w:tcBorders>
          </w:tcPr>
          <w:p w14:paraId="547CC111" w14:textId="77777777" w:rsidR="006C5D5B" w:rsidRPr="004F0D45" w:rsidRDefault="006C5D5B" w:rsidP="008F3A90">
            <w:pPr>
              <w:spacing w:after="0"/>
              <w:contextualSpacing/>
              <w:jc w:val="center"/>
            </w:pPr>
            <w:r w:rsidRPr="004F0D45">
              <w:t>“A” (OS)</w:t>
            </w:r>
          </w:p>
        </w:tc>
        <w:tc>
          <w:tcPr>
            <w:tcW w:w="1044" w:type="dxa"/>
            <w:tcBorders>
              <w:top w:val="double" w:sz="4" w:space="0" w:color="auto"/>
            </w:tcBorders>
          </w:tcPr>
          <w:p w14:paraId="51078CFB" w14:textId="77777777" w:rsidR="006C5D5B" w:rsidRPr="004F0D45" w:rsidRDefault="006C5D5B" w:rsidP="008F3A90">
            <w:pPr>
              <w:spacing w:after="0"/>
              <w:contextualSpacing/>
              <w:jc w:val="center"/>
            </w:pPr>
            <w:r w:rsidRPr="004F0D45">
              <w:t>“A” (</w:t>
            </w:r>
            <w:proofErr w:type="spellStart"/>
            <w:r w:rsidRPr="004F0D45">
              <w:t>ms</w:t>
            </w:r>
            <w:proofErr w:type="spellEnd"/>
            <w:r w:rsidRPr="004F0D45">
              <w:t>)</w:t>
            </w:r>
          </w:p>
        </w:tc>
        <w:tc>
          <w:tcPr>
            <w:tcW w:w="1046" w:type="dxa"/>
            <w:tcBorders>
              <w:top w:val="double" w:sz="4" w:space="0" w:color="auto"/>
            </w:tcBorders>
          </w:tcPr>
          <w:p w14:paraId="29B850ED" w14:textId="77777777" w:rsidR="006C5D5B" w:rsidRPr="004F0D45" w:rsidRDefault="006C5D5B" w:rsidP="008F3A90">
            <w:pPr>
              <w:spacing w:after="0"/>
              <w:contextualSpacing/>
              <w:jc w:val="center"/>
            </w:pPr>
            <w:r w:rsidRPr="004F0D45">
              <w:t>“B” (OS)</w:t>
            </w:r>
          </w:p>
        </w:tc>
        <w:tc>
          <w:tcPr>
            <w:tcW w:w="1045" w:type="dxa"/>
            <w:tcBorders>
              <w:top w:val="double" w:sz="4" w:space="0" w:color="auto"/>
            </w:tcBorders>
          </w:tcPr>
          <w:p w14:paraId="1F05627A" w14:textId="77777777" w:rsidR="006C5D5B" w:rsidRPr="004F0D45" w:rsidRDefault="006C5D5B" w:rsidP="008F3A90">
            <w:pPr>
              <w:spacing w:after="0"/>
              <w:contextualSpacing/>
              <w:jc w:val="center"/>
            </w:pPr>
            <w:r w:rsidRPr="004F0D45">
              <w:t>“B” (</w:t>
            </w:r>
            <w:proofErr w:type="spellStart"/>
            <w:r w:rsidRPr="004F0D45">
              <w:t>ms</w:t>
            </w:r>
            <w:proofErr w:type="spellEnd"/>
            <w:r w:rsidRPr="004F0D45">
              <w:t>)</w:t>
            </w:r>
          </w:p>
        </w:tc>
        <w:tc>
          <w:tcPr>
            <w:tcW w:w="1046" w:type="dxa"/>
            <w:tcBorders>
              <w:top w:val="double" w:sz="4" w:space="0" w:color="auto"/>
            </w:tcBorders>
          </w:tcPr>
          <w:p w14:paraId="2C9F95A6" w14:textId="77777777" w:rsidR="006C5D5B" w:rsidRPr="004F0D45" w:rsidRDefault="006C5D5B" w:rsidP="008F3A90">
            <w:pPr>
              <w:spacing w:after="0"/>
              <w:contextualSpacing/>
              <w:jc w:val="center"/>
            </w:pPr>
            <w:r w:rsidRPr="004F0D45">
              <w:t>Gain %</w:t>
            </w:r>
          </w:p>
        </w:tc>
        <w:tc>
          <w:tcPr>
            <w:tcW w:w="1046" w:type="dxa"/>
            <w:tcBorders>
              <w:top w:val="double" w:sz="4" w:space="0" w:color="auto"/>
            </w:tcBorders>
          </w:tcPr>
          <w:p w14:paraId="013CC50B" w14:textId="77777777" w:rsidR="006C5D5B" w:rsidRPr="004F0D45" w:rsidRDefault="006C5D5B" w:rsidP="008F3A90">
            <w:pPr>
              <w:spacing w:after="0"/>
              <w:contextualSpacing/>
              <w:jc w:val="center"/>
            </w:pPr>
            <w:r w:rsidRPr="004F0D45">
              <w:t>“C” (OS)</w:t>
            </w:r>
          </w:p>
        </w:tc>
        <w:tc>
          <w:tcPr>
            <w:tcW w:w="1045" w:type="dxa"/>
            <w:tcBorders>
              <w:top w:val="double" w:sz="4" w:space="0" w:color="auto"/>
            </w:tcBorders>
          </w:tcPr>
          <w:p w14:paraId="135FF244" w14:textId="77777777" w:rsidR="006C5D5B" w:rsidRPr="004F0D45" w:rsidRDefault="006C5D5B" w:rsidP="008F3A90">
            <w:pPr>
              <w:spacing w:after="0"/>
              <w:contextualSpacing/>
              <w:jc w:val="center"/>
            </w:pPr>
            <w:r w:rsidRPr="004F0D45">
              <w:t>“C” (</w:t>
            </w:r>
            <w:proofErr w:type="spellStart"/>
            <w:r w:rsidRPr="004F0D45">
              <w:t>ms</w:t>
            </w:r>
            <w:proofErr w:type="spellEnd"/>
            <w:r w:rsidRPr="004F0D45">
              <w:t>)</w:t>
            </w:r>
          </w:p>
        </w:tc>
        <w:tc>
          <w:tcPr>
            <w:tcW w:w="1046" w:type="dxa"/>
            <w:tcBorders>
              <w:top w:val="double" w:sz="4" w:space="0" w:color="auto"/>
            </w:tcBorders>
          </w:tcPr>
          <w:p w14:paraId="62DDE82E" w14:textId="77777777" w:rsidR="006C5D5B" w:rsidRPr="004F0D45" w:rsidRDefault="006C5D5B" w:rsidP="008F3A90">
            <w:pPr>
              <w:spacing w:after="0"/>
              <w:contextualSpacing/>
              <w:jc w:val="center"/>
            </w:pPr>
            <w:r w:rsidRPr="004F0D45">
              <w:t>Gain %</w:t>
            </w:r>
          </w:p>
        </w:tc>
      </w:tr>
      <w:tr w:rsidR="006C5D5B" w:rsidRPr="004F0D45" w14:paraId="51DA3FAE" w14:textId="77777777" w:rsidTr="002A40D9">
        <w:tc>
          <w:tcPr>
            <w:tcW w:w="1271" w:type="dxa"/>
          </w:tcPr>
          <w:tbl>
            <w:tblPr>
              <w:tblW w:w="0" w:type="auto"/>
              <w:tblLook w:val="04A0" w:firstRow="1" w:lastRow="0" w:firstColumn="1" w:lastColumn="0" w:noHBand="0" w:noVBand="1"/>
            </w:tblPr>
            <w:tblGrid>
              <w:gridCol w:w="1051"/>
            </w:tblGrid>
            <w:tr w:rsidR="006C5D5B" w:rsidRPr="004F0D45" w14:paraId="3D2AD703" w14:textId="77777777" w:rsidTr="002A40D9">
              <w:tc>
                <w:tcPr>
                  <w:tcW w:w="1051" w:type="dxa"/>
                  <w:hideMark/>
                </w:tcPr>
                <w:p w14:paraId="6CB0293C" w14:textId="77777777" w:rsidR="006C5D5B" w:rsidRPr="004F0D45" w:rsidRDefault="006C5D5B" w:rsidP="008F3A90">
                  <w:pPr>
                    <w:spacing w:after="0"/>
                    <w:contextualSpacing/>
                    <w:jc w:val="center"/>
                  </w:pPr>
                  <w:r w:rsidRPr="004F0D45">
                    <w:t>Maximum</w:t>
                  </w:r>
                  <w:r w:rsidRPr="004F0D45">
                    <w:br/>
                    <w:t>Latency</w:t>
                  </w:r>
                </w:p>
              </w:tc>
            </w:tr>
          </w:tbl>
          <w:p w14:paraId="2F875D71" w14:textId="77777777" w:rsidR="006C5D5B" w:rsidRPr="004F0D45" w:rsidRDefault="006C5D5B" w:rsidP="008719E1">
            <w:pPr>
              <w:spacing w:after="0"/>
              <w:contextualSpacing/>
              <w:jc w:val="both"/>
            </w:pPr>
          </w:p>
        </w:tc>
        <w:tc>
          <w:tcPr>
            <w:tcW w:w="1040" w:type="dxa"/>
          </w:tcPr>
          <w:p w14:paraId="7718793C" w14:textId="77777777" w:rsidR="006C5D5B" w:rsidRPr="004F0D45" w:rsidRDefault="006C5D5B" w:rsidP="008F3A90">
            <w:pPr>
              <w:spacing w:after="0"/>
              <w:contextualSpacing/>
              <w:jc w:val="center"/>
            </w:pPr>
            <w:r w:rsidRPr="004F0D45">
              <w:t>124</w:t>
            </w:r>
          </w:p>
        </w:tc>
        <w:tc>
          <w:tcPr>
            <w:tcW w:w="1044" w:type="dxa"/>
          </w:tcPr>
          <w:p w14:paraId="00EFF40D" w14:textId="77777777" w:rsidR="006C5D5B" w:rsidRPr="004F0D45" w:rsidRDefault="006C5D5B" w:rsidP="008F3A90">
            <w:pPr>
              <w:spacing w:after="0"/>
              <w:contextualSpacing/>
              <w:jc w:val="center"/>
            </w:pPr>
            <w:r w:rsidRPr="004F0D45">
              <w:t>4.41</w:t>
            </w:r>
          </w:p>
        </w:tc>
        <w:tc>
          <w:tcPr>
            <w:tcW w:w="1046" w:type="dxa"/>
          </w:tcPr>
          <w:p w14:paraId="107256F0" w14:textId="77777777" w:rsidR="006C5D5B" w:rsidRPr="004F0D45" w:rsidRDefault="006C5D5B" w:rsidP="008F3A90">
            <w:pPr>
              <w:spacing w:after="0"/>
              <w:contextualSpacing/>
              <w:jc w:val="center"/>
            </w:pPr>
            <w:r w:rsidRPr="004F0D45">
              <w:t>96</w:t>
            </w:r>
          </w:p>
        </w:tc>
        <w:tc>
          <w:tcPr>
            <w:tcW w:w="1045" w:type="dxa"/>
          </w:tcPr>
          <w:p w14:paraId="0D7E0238" w14:textId="77777777" w:rsidR="006C5D5B" w:rsidRPr="004F0D45" w:rsidRDefault="006C5D5B" w:rsidP="008F3A90">
            <w:pPr>
              <w:spacing w:after="0"/>
              <w:contextualSpacing/>
              <w:jc w:val="center"/>
              <w:rPr>
                <w:lang w:val="hu-HU"/>
              </w:rPr>
            </w:pPr>
            <w:r w:rsidRPr="004F0D45">
              <w:rPr>
                <w:lang w:val="hu-HU"/>
              </w:rPr>
              <w:t>3.44</w:t>
            </w:r>
          </w:p>
        </w:tc>
        <w:tc>
          <w:tcPr>
            <w:tcW w:w="1046" w:type="dxa"/>
          </w:tcPr>
          <w:p w14:paraId="3627D2D5" w14:textId="77777777" w:rsidR="006C5D5B" w:rsidRPr="004F0D45" w:rsidRDefault="006C5D5B" w:rsidP="008F3A90">
            <w:pPr>
              <w:spacing w:after="0"/>
              <w:contextualSpacing/>
              <w:jc w:val="center"/>
            </w:pPr>
            <w:r w:rsidRPr="004F0D45">
              <w:t>22.0%</w:t>
            </w:r>
          </w:p>
        </w:tc>
        <w:tc>
          <w:tcPr>
            <w:tcW w:w="1046" w:type="dxa"/>
          </w:tcPr>
          <w:p w14:paraId="30D00537" w14:textId="77777777" w:rsidR="006C5D5B" w:rsidRPr="004F0D45" w:rsidRDefault="006C5D5B" w:rsidP="008F3A90">
            <w:pPr>
              <w:spacing w:after="0"/>
              <w:contextualSpacing/>
              <w:jc w:val="center"/>
            </w:pPr>
            <w:r w:rsidRPr="004F0D45">
              <w:t>96</w:t>
            </w:r>
          </w:p>
        </w:tc>
        <w:tc>
          <w:tcPr>
            <w:tcW w:w="1045" w:type="dxa"/>
          </w:tcPr>
          <w:p w14:paraId="3764EA3E" w14:textId="77777777" w:rsidR="006C5D5B" w:rsidRPr="004F0D45" w:rsidRDefault="006C5D5B" w:rsidP="008F3A90">
            <w:pPr>
              <w:spacing w:after="0"/>
              <w:contextualSpacing/>
              <w:jc w:val="center"/>
            </w:pPr>
            <w:r w:rsidRPr="004F0D45">
              <w:t>3.44</w:t>
            </w:r>
          </w:p>
        </w:tc>
        <w:tc>
          <w:tcPr>
            <w:tcW w:w="1046" w:type="dxa"/>
          </w:tcPr>
          <w:p w14:paraId="357B2F81" w14:textId="77777777" w:rsidR="006C5D5B" w:rsidRPr="004F0D45" w:rsidRDefault="006C5D5B" w:rsidP="008F3A90">
            <w:pPr>
              <w:spacing w:after="0"/>
              <w:contextualSpacing/>
              <w:jc w:val="center"/>
            </w:pPr>
            <w:r w:rsidRPr="004F0D45">
              <w:t>22.0%</w:t>
            </w:r>
          </w:p>
        </w:tc>
      </w:tr>
      <w:tr w:rsidR="006C5D5B" w:rsidRPr="004F0D45" w14:paraId="623DCD9F" w14:textId="77777777" w:rsidTr="002A40D9">
        <w:tc>
          <w:tcPr>
            <w:tcW w:w="1271" w:type="dxa"/>
            <w:tcBorders>
              <w:bottom w:val="double" w:sz="4" w:space="0" w:color="auto"/>
            </w:tcBorders>
          </w:tcPr>
          <w:p w14:paraId="3CC9CB8E" w14:textId="77777777" w:rsidR="006C5D5B" w:rsidRPr="004F0D45" w:rsidRDefault="006C5D5B" w:rsidP="008F3A90">
            <w:pPr>
              <w:spacing w:after="0"/>
              <w:contextualSpacing/>
              <w:jc w:val="center"/>
            </w:pPr>
            <w:r w:rsidRPr="004F0D45">
              <w:t>Median</w:t>
            </w:r>
            <w:r w:rsidRPr="004F0D45">
              <w:br/>
              <w:t>Latency</w:t>
            </w:r>
          </w:p>
        </w:tc>
        <w:tc>
          <w:tcPr>
            <w:tcW w:w="1040" w:type="dxa"/>
            <w:tcBorders>
              <w:bottom w:val="double" w:sz="4" w:space="0" w:color="auto"/>
            </w:tcBorders>
          </w:tcPr>
          <w:p w14:paraId="2492DC28" w14:textId="77777777" w:rsidR="006C5D5B" w:rsidRPr="004F0D45" w:rsidRDefault="006C5D5B" w:rsidP="008F3A90">
            <w:pPr>
              <w:spacing w:after="0"/>
              <w:contextualSpacing/>
              <w:jc w:val="center"/>
            </w:pPr>
            <w:r w:rsidRPr="004F0D45">
              <w:t>89</w:t>
            </w:r>
          </w:p>
        </w:tc>
        <w:tc>
          <w:tcPr>
            <w:tcW w:w="1044" w:type="dxa"/>
            <w:tcBorders>
              <w:bottom w:val="double" w:sz="4" w:space="0" w:color="auto"/>
            </w:tcBorders>
          </w:tcPr>
          <w:p w14:paraId="3114AEA4" w14:textId="77777777" w:rsidR="006C5D5B" w:rsidRPr="004F0D45" w:rsidRDefault="006C5D5B" w:rsidP="008F3A90">
            <w:pPr>
              <w:spacing w:after="0"/>
              <w:contextualSpacing/>
              <w:jc w:val="center"/>
            </w:pPr>
            <w:r w:rsidRPr="004F0D45">
              <w:t>3.18</w:t>
            </w:r>
          </w:p>
        </w:tc>
        <w:tc>
          <w:tcPr>
            <w:tcW w:w="1046" w:type="dxa"/>
            <w:tcBorders>
              <w:bottom w:val="double" w:sz="4" w:space="0" w:color="auto"/>
            </w:tcBorders>
          </w:tcPr>
          <w:p w14:paraId="017CA7B1" w14:textId="77777777" w:rsidR="006C5D5B" w:rsidRPr="004F0D45" w:rsidRDefault="006C5D5B" w:rsidP="008F3A90">
            <w:pPr>
              <w:spacing w:after="0"/>
              <w:contextualSpacing/>
              <w:jc w:val="center"/>
            </w:pPr>
            <w:r w:rsidRPr="004F0D45">
              <w:t>80</w:t>
            </w:r>
          </w:p>
        </w:tc>
        <w:tc>
          <w:tcPr>
            <w:tcW w:w="1045" w:type="dxa"/>
            <w:tcBorders>
              <w:bottom w:val="double" w:sz="4" w:space="0" w:color="auto"/>
            </w:tcBorders>
          </w:tcPr>
          <w:p w14:paraId="2639EA2C" w14:textId="77777777" w:rsidR="006C5D5B" w:rsidRPr="004F0D45" w:rsidRDefault="006C5D5B" w:rsidP="008F3A90">
            <w:pPr>
              <w:spacing w:after="0"/>
              <w:contextualSpacing/>
              <w:jc w:val="center"/>
            </w:pPr>
            <w:r w:rsidRPr="004F0D45">
              <w:t>2.87</w:t>
            </w:r>
          </w:p>
        </w:tc>
        <w:tc>
          <w:tcPr>
            <w:tcW w:w="1046" w:type="dxa"/>
            <w:tcBorders>
              <w:bottom w:val="double" w:sz="4" w:space="0" w:color="auto"/>
            </w:tcBorders>
          </w:tcPr>
          <w:p w14:paraId="16D96EA8" w14:textId="77777777" w:rsidR="006C5D5B" w:rsidRPr="004F0D45" w:rsidRDefault="006C5D5B" w:rsidP="008F3A90">
            <w:pPr>
              <w:spacing w:after="0"/>
              <w:contextualSpacing/>
              <w:jc w:val="center"/>
            </w:pPr>
            <w:r w:rsidRPr="004F0D45">
              <w:t>9.7%</w:t>
            </w:r>
          </w:p>
        </w:tc>
        <w:tc>
          <w:tcPr>
            <w:tcW w:w="1046" w:type="dxa"/>
            <w:tcBorders>
              <w:bottom w:val="double" w:sz="4" w:space="0" w:color="auto"/>
            </w:tcBorders>
          </w:tcPr>
          <w:p w14:paraId="2E76EBC0" w14:textId="77777777" w:rsidR="006C5D5B" w:rsidRPr="004F0D45" w:rsidRDefault="006C5D5B" w:rsidP="008F3A90">
            <w:pPr>
              <w:spacing w:after="0"/>
              <w:contextualSpacing/>
              <w:jc w:val="center"/>
            </w:pPr>
            <w:r w:rsidRPr="004F0D45">
              <w:t>80</w:t>
            </w:r>
          </w:p>
        </w:tc>
        <w:tc>
          <w:tcPr>
            <w:tcW w:w="1045" w:type="dxa"/>
            <w:tcBorders>
              <w:bottom w:val="double" w:sz="4" w:space="0" w:color="auto"/>
            </w:tcBorders>
          </w:tcPr>
          <w:p w14:paraId="233EF63D" w14:textId="77777777" w:rsidR="006C5D5B" w:rsidRPr="004F0D45" w:rsidRDefault="006C5D5B" w:rsidP="008F3A90">
            <w:pPr>
              <w:spacing w:after="0"/>
              <w:contextualSpacing/>
              <w:jc w:val="center"/>
            </w:pPr>
            <w:r w:rsidRPr="004F0D45">
              <w:t>2.87</w:t>
            </w:r>
          </w:p>
        </w:tc>
        <w:tc>
          <w:tcPr>
            <w:tcW w:w="1046" w:type="dxa"/>
            <w:tcBorders>
              <w:bottom w:val="double" w:sz="4" w:space="0" w:color="auto"/>
            </w:tcBorders>
          </w:tcPr>
          <w:p w14:paraId="417936F3" w14:textId="77777777" w:rsidR="006C5D5B" w:rsidRPr="004F0D45" w:rsidRDefault="006C5D5B" w:rsidP="008F3A90">
            <w:pPr>
              <w:spacing w:after="0"/>
              <w:contextualSpacing/>
              <w:jc w:val="center"/>
            </w:pPr>
            <w:r w:rsidRPr="004F0D45">
              <w:t>9.7%</w:t>
            </w:r>
          </w:p>
        </w:tc>
      </w:tr>
      <w:tr w:rsidR="006C5D5B" w:rsidRPr="004F0D45" w14:paraId="22CDD613" w14:textId="77777777" w:rsidTr="002A40D9">
        <w:tc>
          <w:tcPr>
            <w:tcW w:w="1271" w:type="dxa"/>
            <w:tcBorders>
              <w:top w:val="double" w:sz="4" w:space="0" w:color="auto"/>
            </w:tcBorders>
          </w:tcPr>
          <w:p w14:paraId="78063DE6" w14:textId="77777777" w:rsidR="006C5D5B" w:rsidRPr="004F0D45" w:rsidRDefault="006C5D5B" w:rsidP="008F3A90">
            <w:pPr>
              <w:spacing w:after="0"/>
              <w:contextualSpacing/>
              <w:jc w:val="center"/>
            </w:pPr>
            <w:r w:rsidRPr="004F0D45">
              <w:t>D/U CLI</w:t>
            </w:r>
          </w:p>
        </w:tc>
        <w:tc>
          <w:tcPr>
            <w:tcW w:w="2084" w:type="dxa"/>
            <w:gridSpan w:val="2"/>
            <w:tcBorders>
              <w:top w:val="double" w:sz="4" w:space="0" w:color="auto"/>
            </w:tcBorders>
          </w:tcPr>
          <w:p w14:paraId="2281AB66" w14:textId="77777777" w:rsidR="006C5D5B" w:rsidRPr="004F0D45" w:rsidRDefault="006C5D5B" w:rsidP="008F3A90">
            <w:pPr>
              <w:spacing w:after="0"/>
              <w:contextualSpacing/>
              <w:jc w:val="center"/>
            </w:pPr>
            <w:r w:rsidRPr="004F0D45">
              <w:t>None</w:t>
            </w:r>
          </w:p>
        </w:tc>
        <w:tc>
          <w:tcPr>
            <w:tcW w:w="3137" w:type="dxa"/>
            <w:gridSpan w:val="3"/>
            <w:tcBorders>
              <w:top w:val="double" w:sz="4" w:space="0" w:color="auto"/>
            </w:tcBorders>
          </w:tcPr>
          <w:p w14:paraId="639931DB" w14:textId="77777777" w:rsidR="006C5D5B" w:rsidRPr="004F0D45" w:rsidRDefault="006C5D5B" w:rsidP="008F3A90">
            <w:pPr>
              <w:spacing w:after="0"/>
              <w:contextualSpacing/>
              <w:jc w:val="center"/>
            </w:pPr>
            <w:r w:rsidRPr="004F0D45">
              <w:t>Low</w:t>
            </w:r>
          </w:p>
        </w:tc>
        <w:tc>
          <w:tcPr>
            <w:tcW w:w="3137" w:type="dxa"/>
            <w:gridSpan w:val="3"/>
            <w:tcBorders>
              <w:top w:val="double" w:sz="4" w:space="0" w:color="auto"/>
            </w:tcBorders>
          </w:tcPr>
          <w:p w14:paraId="071A9B8B" w14:textId="77777777" w:rsidR="006C5D5B" w:rsidRPr="004F0D45" w:rsidRDefault="006C5D5B" w:rsidP="008F3A90">
            <w:pPr>
              <w:spacing w:after="0"/>
              <w:contextualSpacing/>
              <w:jc w:val="center"/>
            </w:pPr>
            <w:r w:rsidRPr="004F0D45">
              <w:t>High</w:t>
            </w:r>
          </w:p>
        </w:tc>
      </w:tr>
      <w:tr w:rsidR="006C5D5B" w:rsidRPr="004F0D45" w14:paraId="313DB2A6" w14:textId="77777777" w:rsidTr="002A40D9">
        <w:tc>
          <w:tcPr>
            <w:tcW w:w="1271" w:type="dxa"/>
          </w:tcPr>
          <w:p w14:paraId="4D9A61AE" w14:textId="77777777" w:rsidR="006C5D5B" w:rsidRPr="004F0D45" w:rsidRDefault="006C5D5B" w:rsidP="008F3A90">
            <w:pPr>
              <w:spacing w:after="0"/>
              <w:contextualSpacing/>
              <w:jc w:val="center"/>
            </w:pPr>
            <w:r w:rsidRPr="004F0D45">
              <w:t>UL SB</w:t>
            </w:r>
          </w:p>
        </w:tc>
        <w:tc>
          <w:tcPr>
            <w:tcW w:w="2084" w:type="dxa"/>
            <w:gridSpan w:val="2"/>
          </w:tcPr>
          <w:p w14:paraId="36A234B1" w14:textId="77777777" w:rsidR="006C5D5B" w:rsidRPr="004F0D45" w:rsidRDefault="006C5D5B" w:rsidP="008F3A90">
            <w:pPr>
              <w:spacing w:after="0"/>
              <w:contextualSpacing/>
              <w:jc w:val="center"/>
            </w:pPr>
            <w:r w:rsidRPr="004F0D45">
              <w:t>none</w:t>
            </w:r>
          </w:p>
        </w:tc>
        <w:tc>
          <w:tcPr>
            <w:tcW w:w="3137" w:type="dxa"/>
            <w:gridSpan w:val="3"/>
          </w:tcPr>
          <w:p w14:paraId="07CC3409" w14:textId="77777777" w:rsidR="006C5D5B" w:rsidRPr="004F0D45" w:rsidRDefault="006C5D5B" w:rsidP="008F3A90">
            <w:pPr>
              <w:spacing w:after="0"/>
              <w:contextualSpacing/>
              <w:jc w:val="center"/>
            </w:pPr>
            <w:r w:rsidRPr="004F0D45">
              <w:t>in 2+2 symbols</w:t>
            </w:r>
          </w:p>
        </w:tc>
        <w:tc>
          <w:tcPr>
            <w:tcW w:w="3137" w:type="dxa"/>
            <w:gridSpan w:val="3"/>
          </w:tcPr>
          <w:p w14:paraId="3FF4E68E" w14:textId="77777777" w:rsidR="006C5D5B" w:rsidRPr="004F0D45" w:rsidRDefault="006C5D5B" w:rsidP="008F3A90">
            <w:pPr>
              <w:spacing w:after="0"/>
              <w:contextualSpacing/>
              <w:jc w:val="center"/>
            </w:pPr>
            <w:r w:rsidRPr="004F0D45">
              <w:t>in 38 symbols</w:t>
            </w:r>
          </w:p>
        </w:tc>
      </w:tr>
      <w:tr w:rsidR="006C5D5B" w:rsidRPr="004F0D45" w14:paraId="1E698E8E" w14:textId="77777777" w:rsidTr="002A40D9">
        <w:tc>
          <w:tcPr>
            <w:tcW w:w="1271" w:type="dxa"/>
          </w:tcPr>
          <w:p w14:paraId="26FB54B6" w14:textId="77777777" w:rsidR="006C5D5B" w:rsidRPr="004F0D45" w:rsidRDefault="006C5D5B" w:rsidP="008F3A90">
            <w:pPr>
              <w:spacing w:after="0"/>
              <w:contextualSpacing/>
              <w:jc w:val="center"/>
              <w:rPr>
                <w:sz w:val="18"/>
                <w:szCs w:val="18"/>
              </w:rPr>
            </w:pPr>
            <w:r w:rsidRPr="004F0D45">
              <w:rPr>
                <w:sz w:val="18"/>
                <w:szCs w:val="18"/>
              </w:rPr>
              <w:lastRenderedPageBreak/>
              <w:t>UL Coverage</w:t>
            </w:r>
          </w:p>
        </w:tc>
        <w:tc>
          <w:tcPr>
            <w:tcW w:w="5221" w:type="dxa"/>
            <w:gridSpan w:val="5"/>
          </w:tcPr>
          <w:p w14:paraId="12ED8BC2" w14:textId="77777777" w:rsidR="006C5D5B" w:rsidRPr="004F0D45" w:rsidRDefault="006C5D5B" w:rsidP="008F3A90">
            <w:pPr>
              <w:spacing w:after="0"/>
              <w:contextualSpacing/>
              <w:jc w:val="center"/>
            </w:pPr>
            <w:r w:rsidRPr="004F0D45">
              <w:t>Sufficient for deployment scenario (</w:t>
            </w:r>
            <w:proofErr w:type="gramStart"/>
            <w:r w:rsidRPr="004F0D45">
              <w:t>e.g.</w:t>
            </w:r>
            <w:proofErr w:type="gramEnd"/>
            <w:r w:rsidRPr="004F0D45">
              <w:t xml:space="preserve"> indoor)</w:t>
            </w:r>
          </w:p>
        </w:tc>
        <w:tc>
          <w:tcPr>
            <w:tcW w:w="3137" w:type="dxa"/>
            <w:gridSpan w:val="3"/>
          </w:tcPr>
          <w:p w14:paraId="3E174973" w14:textId="77777777" w:rsidR="006C5D5B" w:rsidRPr="004F0D45" w:rsidRDefault="006C5D5B" w:rsidP="008F3A90">
            <w:pPr>
              <w:spacing w:after="0"/>
              <w:contextualSpacing/>
              <w:jc w:val="center"/>
            </w:pPr>
            <w:r w:rsidRPr="004F0D45">
              <w:t>Can be extended by long repetitions</w:t>
            </w:r>
          </w:p>
        </w:tc>
      </w:tr>
    </w:tbl>
    <w:bookmarkEnd w:id="24"/>
    <w:p w14:paraId="5C84CFBE" w14:textId="7EC07BE2" w:rsidR="006C5D5B" w:rsidRPr="004F0D45" w:rsidRDefault="003F7818" w:rsidP="005D664D">
      <w:pPr>
        <w:spacing w:before="240"/>
        <w:jc w:val="both"/>
      </w:pPr>
      <w:r w:rsidRPr="004F0D45">
        <w:fldChar w:fldCharType="begin"/>
      </w:r>
      <w:r w:rsidRPr="004F0D45">
        <w:instrText xml:space="preserve"> REF _Ref118361077 \h </w:instrText>
      </w:r>
      <w:r w:rsidR="00397FE2" w:rsidRPr="004F0D45">
        <w:instrText xml:space="preserve"> \* MERGEFORMAT </w:instrText>
      </w:r>
      <w:r w:rsidRPr="004F0D45">
        <w:fldChar w:fldCharType="separate"/>
      </w:r>
      <w:r w:rsidR="00F230AB" w:rsidRPr="004F0D45">
        <w:t xml:space="preserve">Table </w:t>
      </w:r>
      <w:r w:rsidR="00F230AB" w:rsidRPr="004F0D45">
        <w:rPr>
          <w:noProof/>
        </w:rPr>
        <w:t>1</w:t>
      </w:r>
      <w:r w:rsidRPr="004F0D45">
        <w:fldChar w:fldCharType="end"/>
      </w:r>
      <w:r w:rsidRPr="004F0D45">
        <w:t xml:space="preserve"> </w:t>
      </w:r>
      <w:r w:rsidR="006C5D5B" w:rsidRPr="004F0D45">
        <w:t xml:space="preserve">summarizes the readings for the maximum and the median. A saving of 22.0% (from 4.41 </w:t>
      </w:r>
      <w:proofErr w:type="spellStart"/>
      <w:r w:rsidR="006C5D5B" w:rsidRPr="004F0D45">
        <w:t>ms</w:t>
      </w:r>
      <w:proofErr w:type="spellEnd"/>
      <w:r w:rsidR="006C5D5B" w:rsidRPr="004F0D45">
        <w:t xml:space="preserve"> to 3.44 </w:t>
      </w:r>
      <w:proofErr w:type="spellStart"/>
      <w:r w:rsidR="006C5D5B" w:rsidRPr="004F0D45">
        <w:t>ms</w:t>
      </w:r>
      <w:proofErr w:type="spellEnd"/>
      <w:r w:rsidR="006C5D5B" w:rsidRPr="004F0D45">
        <w:t xml:space="preserve">) and 9.7% (from 3.18 </w:t>
      </w:r>
      <w:proofErr w:type="spellStart"/>
      <w:r w:rsidR="006C5D5B" w:rsidRPr="004F0D45">
        <w:t>ms</w:t>
      </w:r>
      <w:proofErr w:type="spellEnd"/>
      <w:r w:rsidR="006C5D5B" w:rsidRPr="004F0D45">
        <w:t xml:space="preserve"> to 2.87 </w:t>
      </w:r>
      <w:proofErr w:type="spellStart"/>
      <w:r w:rsidR="006C5D5B" w:rsidRPr="004F0D45">
        <w:t>ms</w:t>
      </w:r>
      <w:proofErr w:type="spellEnd"/>
      <w:r w:rsidR="006C5D5B" w:rsidRPr="004F0D45">
        <w:t xml:space="preserve">) are observed for the maximum and median latencies, respectively.     </w:t>
      </w:r>
    </w:p>
    <w:p w14:paraId="6E229CA3" w14:textId="43025DC2" w:rsidR="006C5D5B" w:rsidRPr="004F0D45" w:rsidRDefault="006C5D5B" w:rsidP="005D664D">
      <w:pPr>
        <w:spacing w:before="120"/>
        <w:jc w:val="both"/>
      </w:pPr>
      <w:r w:rsidRPr="004F0D45">
        <w:t xml:space="preserve">We conclude that </w:t>
      </w:r>
      <w:r w:rsidRPr="004F0D45">
        <w:rPr>
          <w:rFonts w:cstheme="minorHAnsi"/>
        </w:rPr>
        <w:t>non-contiguous and contiguous subband layout yield similar latency gain in single retransmission</w:t>
      </w:r>
      <w:r w:rsidR="002A220A" w:rsidRPr="004F0D45">
        <w:rPr>
          <w:rFonts w:cstheme="minorHAnsi"/>
        </w:rPr>
        <w:t xml:space="preserve">, </w:t>
      </w:r>
      <w:r w:rsidRPr="004F0D45">
        <w:rPr>
          <w:rFonts w:cstheme="minorHAnsi"/>
        </w:rPr>
        <w:t xml:space="preserve">high-data-rate, low-latency traffic scenario. But non-contiguous SBFD symbols cause less perturbation to synchronized TDD layout. </w:t>
      </w:r>
    </w:p>
    <w:p w14:paraId="40E019A4" w14:textId="77777777" w:rsidR="006C5D5B" w:rsidRPr="004F0D45" w:rsidRDefault="006C5D5B" w:rsidP="005D664D">
      <w:pPr>
        <w:spacing w:before="120"/>
        <w:jc w:val="both"/>
      </w:pPr>
      <w:r w:rsidRPr="004F0D45">
        <w:t>The non-contiguous subband layout applied in deployment “B” can be the practical choice, for instance, in an FR1 indoor SBFD deployment where UL coverage can easily be managed by UL TPC alone, whereas the main challenges are latency and HDRLL DL capacity improvement, in co-existence with the TDD macro cell. In this scenario deployment “C” would cause co-existence issues without bringing improvements.</w:t>
      </w:r>
    </w:p>
    <w:p w14:paraId="10700F32" w14:textId="06981F48" w:rsidR="008631B3" w:rsidRPr="004F0D45" w:rsidRDefault="007E7DD2" w:rsidP="005D664D">
      <w:pPr>
        <w:pStyle w:val="Caption"/>
        <w:jc w:val="both"/>
        <w:rPr>
          <w:i/>
          <w:iCs/>
        </w:rPr>
      </w:pPr>
      <w:bookmarkStart w:id="25" w:name="LABEL_Proposal5_noncontiguousSBFD"/>
      <w:r w:rsidRPr="004F0D45">
        <w:rPr>
          <w:i/>
          <w:iCs/>
        </w:rPr>
        <w:t xml:space="preserve">Observation </w:t>
      </w:r>
      <w:r w:rsidRPr="004F0D45">
        <w:rPr>
          <w:i/>
          <w:iCs/>
        </w:rPr>
        <w:fldChar w:fldCharType="begin"/>
      </w:r>
      <w:r w:rsidRPr="004F0D45">
        <w:rPr>
          <w:i/>
          <w:iCs/>
        </w:rPr>
        <w:instrText xml:space="preserve"> SEQ Observation \* ARABIC </w:instrText>
      </w:r>
      <w:r w:rsidRPr="004F0D45">
        <w:rPr>
          <w:i/>
          <w:iCs/>
        </w:rPr>
        <w:fldChar w:fldCharType="separate"/>
      </w:r>
      <w:r w:rsidR="00F230AB" w:rsidRPr="004F0D45">
        <w:rPr>
          <w:i/>
          <w:iCs/>
          <w:noProof/>
        </w:rPr>
        <w:t>2</w:t>
      </w:r>
      <w:r w:rsidRPr="004F0D45">
        <w:rPr>
          <w:i/>
          <w:iCs/>
        </w:rPr>
        <w:fldChar w:fldCharType="end"/>
      </w:r>
      <w:r w:rsidRPr="004F0D45">
        <w:t xml:space="preserve">: </w:t>
      </w:r>
      <w:bookmarkStart w:id="26" w:name="_Ref118365266"/>
      <w:r w:rsidRPr="004F0D45">
        <w:rPr>
          <w:i/>
          <w:iCs/>
        </w:rPr>
        <w:t>Non-contiguous and contiguous subband layout yield similar latency gain in single retransmission</w:t>
      </w:r>
      <w:r w:rsidR="00C27170" w:rsidRPr="004F0D45">
        <w:rPr>
          <w:i/>
          <w:iCs/>
        </w:rPr>
        <w:t xml:space="preserve">, </w:t>
      </w:r>
      <w:r w:rsidRPr="004F0D45">
        <w:rPr>
          <w:i/>
          <w:iCs/>
        </w:rPr>
        <w:t>high-data-rate, low-latency traffic scenario. But non-contiguous SBFD symbols cause less perturbation to synchronized TDD layout.</w:t>
      </w:r>
      <w:bookmarkEnd w:id="26"/>
    </w:p>
    <w:p w14:paraId="2D2678E5" w14:textId="47D42E57" w:rsidR="006669DE" w:rsidRPr="004F0D45" w:rsidRDefault="006669DE" w:rsidP="005D664D">
      <w:pPr>
        <w:spacing w:before="120"/>
        <w:jc w:val="both"/>
        <w:rPr>
          <w:rFonts w:cstheme="minorHAnsi"/>
          <w:b/>
          <w:bCs/>
          <w:i/>
          <w:iCs/>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F230AB" w:rsidRPr="004F0D45">
        <w:rPr>
          <w:b/>
          <w:bCs/>
          <w:i/>
          <w:iCs/>
          <w:noProof/>
        </w:rPr>
        <w:t>10</w:t>
      </w:r>
      <w:r w:rsidRPr="004F0D45">
        <w:fldChar w:fldCharType="end"/>
      </w:r>
      <w:r w:rsidRPr="004F0D45">
        <w:rPr>
          <w:rFonts w:cstheme="minorHAnsi"/>
          <w:b/>
          <w:bCs/>
          <w:i/>
          <w:iCs/>
        </w:rPr>
        <w:t xml:space="preserve">: </w:t>
      </w:r>
      <w:bookmarkStart w:id="27" w:name="_Ref131674211"/>
      <w:r w:rsidRPr="004F0D45">
        <w:rPr>
          <w:rFonts w:cstheme="minorHAnsi"/>
          <w:b/>
          <w:bCs/>
          <w:i/>
          <w:iCs/>
        </w:rPr>
        <w:t xml:space="preserve">Allow configuration of both SBFD and non-SBFD symbols within </w:t>
      </w:r>
      <w:r w:rsidR="00544D6E" w:rsidRPr="004F0D45">
        <w:rPr>
          <w:rFonts w:cstheme="minorHAnsi"/>
          <w:b/>
          <w:bCs/>
          <w:i/>
          <w:iCs/>
        </w:rPr>
        <w:t xml:space="preserve">a </w:t>
      </w:r>
      <w:r w:rsidRPr="004F0D45">
        <w:rPr>
          <w:rFonts w:cstheme="minorHAnsi"/>
          <w:b/>
          <w:bCs/>
          <w:i/>
          <w:iCs/>
        </w:rPr>
        <w:t>slot.</w:t>
      </w:r>
      <w:bookmarkEnd w:id="27"/>
      <w:r w:rsidRPr="004F0D45">
        <w:rPr>
          <w:rFonts w:cstheme="minorHAnsi"/>
          <w:b/>
          <w:bCs/>
          <w:i/>
          <w:iCs/>
        </w:rPr>
        <w:t xml:space="preserve">  </w:t>
      </w:r>
      <w:bookmarkStart w:id="28" w:name="_Hlk127436175"/>
      <w:bookmarkEnd w:id="25"/>
    </w:p>
    <w:bookmarkEnd w:id="28"/>
    <w:p w14:paraId="42C83BFC" w14:textId="77777777" w:rsidR="000C2266" w:rsidRPr="004F0D45" w:rsidRDefault="000C2266" w:rsidP="005D664D">
      <w:pPr>
        <w:pStyle w:val="Heading2"/>
        <w:ind w:left="578" w:hanging="578"/>
        <w:jc w:val="both"/>
      </w:pPr>
      <w:r w:rsidRPr="004F0D45">
        <w:t>Directional collisions in SBFD symbols</w:t>
      </w:r>
    </w:p>
    <w:tbl>
      <w:tblPr>
        <w:tblStyle w:val="TableGrid"/>
        <w:tblW w:w="0" w:type="auto"/>
        <w:tblLook w:val="04A0" w:firstRow="1" w:lastRow="0" w:firstColumn="1" w:lastColumn="0" w:noHBand="0" w:noVBand="1"/>
      </w:tblPr>
      <w:tblGrid>
        <w:gridCol w:w="9629"/>
      </w:tblGrid>
      <w:tr w:rsidR="00AD706D" w:rsidRPr="004F0D45" w14:paraId="42FDEFB6" w14:textId="77777777" w:rsidTr="00AD706D">
        <w:tc>
          <w:tcPr>
            <w:tcW w:w="9629" w:type="dxa"/>
          </w:tcPr>
          <w:p w14:paraId="6C04CF4E" w14:textId="48F9F8D8" w:rsidR="00AD706D" w:rsidRPr="004F0D45" w:rsidRDefault="00AD706D" w:rsidP="005D664D">
            <w:pPr>
              <w:spacing w:before="120" w:after="0"/>
              <w:jc w:val="both"/>
            </w:pPr>
            <w:r w:rsidRPr="004F0D45">
              <w:rPr>
                <w:b/>
                <w:bCs/>
              </w:rPr>
              <w:t xml:space="preserve">Agreement </w:t>
            </w:r>
            <w:r w:rsidRPr="004F0D45">
              <w:rPr>
                <w:rFonts w:eastAsia="Malgun Gothic"/>
                <w:b/>
                <w:lang w:eastAsia="zh-CN"/>
              </w:rPr>
              <w:t>RAN1#111</w:t>
            </w:r>
          </w:p>
          <w:p w14:paraId="0F91E5CA" w14:textId="77777777" w:rsidR="00AD706D" w:rsidRPr="004F0D45" w:rsidRDefault="00AD706D" w:rsidP="0068452A">
            <w:pPr>
              <w:spacing w:after="0"/>
              <w:contextualSpacing/>
              <w:jc w:val="both"/>
            </w:pPr>
            <w:r w:rsidRPr="004F0D45">
              <w:t xml:space="preserve">Identify if there are any cases of time domain conflict of UE’s UL and DL operation in the same SBFD symbol for SBFD aware UE </w:t>
            </w:r>
          </w:p>
          <w:p w14:paraId="6B2932FF" w14:textId="77777777" w:rsidR="00AD706D" w:rsidRPr="004F0D45" w:rsidRDefault="00AD706D" w:rsidP="0068452A">
            <w:pPr>
              <w:spacing w:after="0"/>
              <w:contextualSpacing/>
              <w:jc w:val="both"/>
            </w:pPr>
            <w:r w:rsidRPr="004F0D45">
              <w:t>If there are, whether/how to avoid/handle such collision cases (as second step)</w:t>
            </w:r>
          </w:p>
          <w:p w14:paraId="26965ED1" w14:textId="034D5F60" w:rsidR="00AD706D" w:rsidRPr="004F0D45" w:rsidRDefault="00AD706D" w:rsidP="005D664D">
            <w:pPr>
              <w:spacing w:before="120" w:after="0"/>
              <w:jc w:val="both"/>
            </w:pPr>
            <w:r w:rsidRPr="004F0D45">
              <w:rPr>
                <w:b/>
                <w:bCs/>
              </w:rPr>
              <w:t xml:space="preserve">Agreement </w:t>
            </w:r>
            <w:r w:rsidRPr="004F0D45">
              <w:rPr>
                <w:rFonts w:eastAsia="Malgun Gothic"/>
                <w:b/>
                <w:lang w:eastAsia="zh-CN"/>
              </w:rPr>
              <w:t>RAN1#111</w:t>
            </w:r>
          </w:p>
          <w:p w14:paraId="10986F99" w14:textId="71C04D44" w:rsidR="00AD706D" w:rsidRPr="004F0D45" w:rsidRDefault="00AD706D" w:rsidP="0068452A">
            <w:pPr>
              <w:spacing w:after="0"/>
              <w:contextualSpacing/>
              <w:jc w:val="both"/>
            </w:pPr>
            <w:r w:rsidRPr="004F0D45">
              <w:t>Study whether SBFD operation in SSB symbols is supported or not.</w:t>
            </w:r>
          </w:p>
        </w:tc>
      </w:tr>
    </w:tbl>
    <w:p w14:paraId="37B7A65A" w14:textId="00FC84D8" w:rsidR="00F02CD4" w:rsidRPr="004F0D45" w:rsidRDefault="00F02CD4" w:rsidP="005D664D">
      <w:pPr>
        <w:spacing w:before="180" w:after="0"/>
        <w:jc w:val="both"/>
      </w:pPr>
      <w:r w:rsidRPr="004F0D45">
        <w:rPr>
          <w:b/>
          <w:bCs/>
          <w:u w:val="single"/>
        </w:rPr>
        <w:t>SSB:</w:t>
      </w:r>
      <w:r w:rsidRPr="004F0D45">
        <w:t xml:space="preserve"> </w:t>
      </w:r>
    </w:p>
    <w:p w14:paraId="7288316F" w14:textId="15FF5F7B" w:rsidR="00564DAE" w:rsidRPr="004F0D45" w:rsidRDefault="00F02CD4" w:rsidP="005D664D">
      <w:pPr>
        <w:spacing w:before="180" w:after="0"/>
        <w:jc w:val="both"/>
      </w:pPr>
      <w:r w:rsidRPr="004F0D45">
        <w:t xml:space="preserve">SSB reception </w:t>
      </w:r>
      <w:r w:rsidR="00511E7D" w:rsidRPr="004F0D45">
        <w:t xml:space="preserve">of the serving cell is important for </w:t>
      </w:r>
      <w:r w:rsidR="00DF7C5F" w:rsidRPr="004F0D45">
        <w:t xml:space="preserve">not only </w:t>
      </w:r>
      <w:r w:rsidR="00511E7D" w:rsidRPr="004F0D45">
        <w:t xml:space="preserve">measurement </w:t>
      </w:r>
      <w:r w:rsidR="00DF7C5F" w:rsidRPr="004F0D45">
        <w:t>but</w:t>
      </w:r>
      <w:r w:rsidR="00511E7D" w:rsidRPr="004F0D45">
        <w:t xml:space="preserve"> synchronization</w:t>
      </w:r>
      <w:r w:rsidR="00DF7C5F" w:rsidRPr="004F0D45">
        <w:t>, too</w:t>
      </w:r>
      <w:r w:rsidR="00511E7D" w:rsidRPr="004F0D45">
        <w:t xml:space="preserve">. For this reason, it needs to be prioritized in general. SSB reception of neighbour cell is important for measurement and cell-reselection. Since inter-cell UE-UE CLI degrading SSB measurement would be difficult to predict and to mitigate if SSB was allowed to overlap with SBFD symbols, it is strongly preferred to forbid such configuration. </w:t>
      </w:r>
      <w:r w:rsidR="006E26D2" w:rsidRPr="004F0D45">
        <w:t>Such a restriction would not limit the scheduling flexibility too significantly</w:t>
      </w:r>
      <w:r w:rsidR="000001CE" w:rsidRPr="004F0D45">
        <w:t xml:space="preserve"> due to the relatively long SSB periodicity and the typical alignment amongst neighbour cells</w:t>
      </w:r>
      <w:r w:rsidR="006E26D2" w:rsidRPr="004F0D45">
        <w:t>.</w:t>
      </w:r>
      <w:r w:rsidR="00DF7C5F" w:rsidRPr="004F0D45">
        <w:t xml:space="preserve"> </w:t>
      </w:r>
    </w:p>
    <w:p w14:paraId="4D714CF0" w14:textId="4AB54310" w:rsidR="000001CE" w:rsidRPr="004F0D45" w:rsidRDefault="000001CE" w:rsidP="005D664D">
      <w:pPr>
        <w:spacing w:before="180" w:after="0"/>
        <w:jc w:val="both"/>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F230AB" w:rsidRPr="004F0D45">
        <w:rPr>
          <w:b/>
          <w:bCs/>
          <w:i/>
          <w:iCs/>
          <w:noProof/>
        </w:rPr>
        <w:t>11</w:t>
      </w:r>
      <w:r w:rsidRPr="004F0D45">
        <w:fldChar w:fldCharType="end"/>
      </w:r>
      <w:r w:rsidRPr="004F0D45">
        <w:rPr>
          <w:rFonts w:cstheme="minorHAnsi"/>
          <w:b/>
          <w:bCs/>
          <w:i/>
          <w:iCs/>
        </w:rPr>
        <w:t xml:space="preserve">: </w:t>
      </w:r>
      <w:bookmarkStart w:id="29" w:name="_Ref118363525"/>
      <w:r w:rsidR="00410367" w:rsidRPr="004F0D45">
        <w:rPr>
          <w:rFonts w:cstheme="minorHAnsi"/>
          <w:b/>
          <w:bCs/>
          <w:i/>
          <w:iCs/>
        </w:rPr>
        <w:t>Do not allow overlap between SSB and SBFD symbols.</w:t>
      </w:r>
      <w:bookmarkEnd w:id="29"/>
    </w:p>
    <w:p w14:paraId="1B2BDAB3" w14:textId="1E851C2B" w:rsidR="00816BAB" w:rsidRPr="004F0D45" w:rsidRDefault="0098084C" w:rsidP="005D664D">
      <w:pPr>
        <w:spacing w:before="180" w:after="0"/>
        <w:jc w:val="both"/>
        <w:rPr>
          <w:b/>
          <w:bCs/>
          <w:u w:val="single"/>
        </w:rPr>
      </w:pPr>
      <w:r w:rsidRPr="004F0D45">
        <w:rPr>
          <w:b/>
          <w:bCs/>
          <w:u w:val="single"/>
        </w:rPr>
        <w:t>Considerations and rules for prioritization</w:t>
      </w:r>
      <w:r w:rsidR="00564DAE" w:rsidRPr="004F0D45">
        <w:rPr>
          <w:b/>
          <w:bCs/>
          <w:u w:val="single"/>
        </w:rPr>
        <w:t>:</w:t>
      </w:r>
    </w:p>
    <w:p w14:paraId="6F8744F8" w14:textId="77777777" w:rsidR="00C307EF" w:rsidRPr="004F0D45" w:rsidRDefault="00910B8B">
      <w:pPr>
        <w:pStyle w:val="ListParagraph"/>
        <w:numPr>
          <w:ilvl w:val="0"/>
          <w:numId w:val="10"/>
        </w:numPr>
        <w:tabs>
          <w:tab w:val="num" w:pos="360"/>
        </w:tabs>
        <w:spacing w:before="120"/>
        <w:ind w:left="714" w:hanging="357"/>
        <w:jc w:val="both"/>
        <w:rPr>
          <w:sz w:val="20"/>
          <w:szCs w:val="20"/>
        </w:rPr>
      </w:pPr>
      <w:r w:rsidRPr="004F0D45">
        <w:rPr>
          <w:sz w:val="20"/>
          <w:szCs w:val="20"/>
        </w:rPr>
        <w:t>Dynamic scheduling should be prioritized over semi-static scheduling</w:t>
      </w:r>
      <w:r w:rsidR="00996A9F" w:rsidRPr="004F0D45">
        <w:rPr>
          <w:sz w:val="20"/>
          <w:szCs w:val="20"/>
        </w:rPr>
        <w:t>, except for SSB reception</w:t>
      </w:r>
      <w:r w:rsidR="00C307EF" w:rsidRPr="004F0D45">
        <w:rPr>
          <w:sz w:val="20"/>
          <w:szCs w:val="20"/>
        </w:rPr>
        <w:t>.</w:t>
      </w:r>
      <w:r w:rsidR="00996A9F" w:rsidRPr="004F0D45">
        <w:rPr>
          <w:sz w:val="20"/>
          <w:szCs w:val="20"/>
        </w:rPr>
        <w:t xml:space="preserve"> </w:t>
      </w:r>
    </w:p>
    <w:p w14:paraId="20763A6E" w14:textId="6EA949F6" w:rsidR="00910B8B" w:rsidRPr="004F0D45" w:rsidRDefault="00C307EF">
      <w:pPr>
        <w:pStyle w:val="ListParagraph"/>
        <w:numPr>
          <w:ilvl w:val="0"/>
          <w:numId w:val="10"/>
        </w:numPr>
        <w:tabs>
          <w:tab w:val="num" w:pos="360"/>
        </w:tabs>
        <w:spacing w:before="120"/>
        <w:ind w:left="714" w:hanging="357"/>
        <w:jc w:val="both"/>
        <w:rPr>
          <w:sz w:val="20"/>
          <w:szCs w:val="20"/>
        </w:rPr>
      </w:pPr>
      <w:r w:rsidRPr="004F0D45">
        <w:rPr>
          <w:sz w:val="20"/>
          <w:szCs w:val="20"/>
        </w:rPr>
        <w:t>T</w:t>
      </w:r>
      <w:r w:rsidR="00D84E7B" w:rsidRPr="004F0D45">
        <w:rPr>
          <w:sz w:val="20"/>
          <w:szCs w:val="20"/>
        </w:rPr>
        <w:t xml:space="preserve">ransmission or reception scheduled by DCI </w:t>
      </w:r>
      <w:r w:rsidR="00910B8B" w:rsidRPr="004F0D45">
        <w:rPr>
          <w:sz w:val="20"/>
          <w:szCs w:val="20"/>
        </w:rPr>
        <w:t>should be allowed over flexible symbols, too.</w:t>
      </w:r>
    </w:p>
    <w:p w14:paraId="16B204AC" w14:textId="05BA375C" w:rsidR="000C2266" w:rsidRPr="004F0D45" w:rsidRDefault="00EB495E">
      <w:pPr>
        <w:pStyle w:val="ListParagraph"/>
        <w:numPr>
          <w:ilvl w:val="0"/>
          <w:numId w:val="10"/>
        </w:numPr>
        <w:spacing w:before="120"/>
        <w:jc w:val="both"/>
        <w:rPr>
          <w:sz w:val="20"/>
          <w:szCs w:val="20"/>
        </w:rPr>
      </w:pPr>
      <w:r w:rsidRPr="004F0D45">
        <w:rPr>
          <w:sz w:val="20"/>
          <w:szCs w:val="20"/>
        </w:rPr>
        <w:t>T</w:t>
      </w:r>
      <w:r w:rsidR="00D32A8C" w:rsidRPr="004F0D45">
        <w:rPr>
          <w:sz w:val="20"/>
          <w:szCs w:val="20"/>
        </w:rPr>
        <w:t>ransmission or reception overlapping with either a subband or a symbol indicated as ‘flexible’ must be deprioritized unless it is scheduled by a DCI, in connected mode</w:t>
      </w:r>
      <w:r w:rsidR="00C81DE3" w:rsidRPr="004F0D45">
        <w:rPr>
          <w:sz w:val="20"/>
          <w:szCs w:val="20"/>
        </w:rPr>
        <w:t>.</w:t>
      </w:r>
      <w:r w:rsidR="00CC5589" w:rsidRPr="004F0D45">
        <w:rPr>
          <w:sz w:val="20"/>
          <w:szCs w:val="20"/>
        </w:rPr>
        <w:t xml:space="preserve"> </w:t>
      </w:r>
      <w:r w:rsidR="00C81DE3" w:rsidRPr="004F0D45">
        <w:rPr>
          <w:sz w:val="20"/>
          <w:szCs w:val="20"/>
        </w:rPr>
        <w:t xml:space="preserve"> </w:t>
      </w:r>
      <w:r w:rsidR="003E49AA" w:rsidRPr="004F0D45">
        <w:rPr>
          <w:sz w:val="20"/>
          <w:szCs w:val="20"/>
        </w:rPr>
        <w:t xml:space="preserve">   </w:t>
      </w:r>
      <w:r w:rsidR="00985262" w:rsidRPr="004F0D45">
        <w:rPr>
          <w:sz w:val="20"/>
          <w:szCs w:val="20"/>
        </w:rPr>
        <w:t xml:space="preserve">  </w:t>
      </w:r>
    </w:p>
    <w:p w14:paraId="4E164EFC" w14:textId="26D7A585" w:rsidR="0079535A" w:rsidRPr="004F0D45" w:rsidRDefault="00282B2C">
      <w:pPr>
        <w:pStyle w:val="ListParagraph"/>
        <w:numPr>
          <w:ilvl w:val="0"/>
          <w:numId w:val="10"/>
        </w:numPr>
        <w:tabs>
          <w:tab w:val="num" w:pos="360"/>
        </w:tabs>
        <w:spacing w:before="120"/>
        <w:ind w:left="714" w:hanging="357"/>
        <w:jc w:val="both"/>
        <w:rPr>
          <w:sz w:val="20"/>
          <w:szCs w:val="20"/>
        </w:rPr>
      </w:pPr>
      <w:r w:rsidRPr="004F0D45">
        <w:rPr>
          <w:sz w:val="20"/>
          <w:szCs w:val="20"/>
        </w:rPr>
        <w:t xml:space="preserve">Assuming that </w:t>
      </w:r>
      <w:r w:rsidR="0068782A" w:rsidRPr="004F0D45">
        <w:rPr>
          <w:sz w:val="20"/>
          <w:szCs w:val="20"/>
        </w:rPr>
        <w:t xml:space="preserve">PRACH is allowed </w:t>
      </w:r>
      <w:r w:rsidR="0032616A" w:rsidRPr="004F0D45">
        <w:rPr>
          <w:sz w:val="20"/>
          <w:szCs w:val="20"/>
        </w:rPr>
        <w:t>to overlap with SBFD symbols,</w:t>
      </w:r>
      <w:r w:rsidR="0068782A" w:rsidRPr="004F0D45">
        <w:rPr>
          <w:sz w:val="20"/>
          <w:szCs w:val="20"/>
        </w:rPr>
        <w:t xml:space="preserve"> </w:t>
      </w:r>
      <w:r w:rsidR="007C1CE0" w:rsidRPr="004F0D45">
        <w:rPr>
          <w:sz w:val="20"/>
          <w:szCs w:val="20"/>
        </w:rPr>
        <w:t>Leave prioritization to UE implementation when Msg1/MsgA in CBRA collides with reception</w:t>
      </w:r>
      <w:r w:rsidR="0032616A" w:rsidRPr="004F0D45">
        <w:rPr>
          <w:sz w:val="20"/>
          <w:szCs w:val="20"/>
        </w:rPr>
        <w:t xml:space="preserve">. </w:t>
      </w:r>
    </w:p>
    <w:p w14:paraId="51A302BC" w14:textId="464F3BB4" w:rsidR="003B7A10" w:rsidRPr="004F0D45" w:rsidRDefault="0079535A">
      <w:pPr>
        <w:pStyle w:val="ListParagraph"/>
        <w:numPr>
          <w:ilvl w:val="0"/>
          <w:numId w:val="10"/>
        </w:numPr>
        <w:tabs>
          <w:tab w:val="num" w:pos="360"/>
        </w:tabs>
        <w:spacing w:before="120"/>
        <w:ind w:left="714" w:hanging="357"/>
        <w:jc w:val="both"/>
        <w:rPr>
          <w:sz w:val="20"/>
          <w:szCs w:val="20"/>
        </w:rPr>
      </w:pPr>
      <w:r w:rsidRPr="004F0D45">
        <w:rPr>
          <w:sz w:val="20"/>
          <w:szCs w:val="20"/>
        </w:rPr>
        <w:t xml:space="preserve">SSB </w:t>
      </w:r>
      <w:r w:rsidR="000A18F8" w:rsidRPr="004F0D45">
        <w:rPr>
          <w:sz w:val="20"/>
          <w:szCs w:val="20"/>
        </w:rPr>
        <w:t>should not be allowed to overlap with SBFD symbols. However, a</w:t>
      </w:r>
      <w:r w:rsidR="00244404" w:rsidRPr="004F0D45">
        <w:rPr>
          <w:sz w:val="20"/>
          <w:szCs w:val="20"/>
        </w:rPr>
        <w:t xml:space="preserve">ssuming </w:t>
      </w:r>
      <w:r w:rsidR="000A18F8" w:rsidRPr="004F0D45">
        <w:rPr>
          <w:sz w:val="20"/>
          <w:szCs w:val="20"/>
        </w:rPr>
        <w:t>the contrary case gets</w:t>
      </w:r>
      <w:r w:rsidR="0032616A" w:rsidRPr="004F0D45">
        <w:rPr>
          <w:sz w:val="20"/>
          <w:szCs w:val="20"/>
        </w:rPr>
        <w:t xml:space="preserve"> consensus</w:t>
      </w:r>
      <w:r w:rsidR="00244404" w:rsidRPr="004F0D45">
        <w:rPr>
          <w:sz w:val="20"/>
          <w:szCs w:val="20"/>
        </w:rPr>
        <w:t xml:space="preserve">, </w:t>
      </w:r>
      <w:r w:rsidR="007C1CE0" w:rsidRPr="004F0D45">
        <w:rPr>
          <w:sz w:val="20"/>
          <w:szCs w:val="20"/>
        </w:rPr>
        <w:t>Prioritize SSB over semi-statically configured transmission other than Msg1/MsgA in CBRA</w:t>
      </w:r>
      <w:r w:rsidR="00996A9F" w:rsidRPr="004F0D45">
        <w:rPr>
          <w:sz w:val="20"/>
          <w:szCs w:val="20"/>
        </w:rPr>
        <w:t>.</w:t>
      </w:r>
      <w:r w:rsidR="003B7A10" w:rsidRPr="004F0D45">
        <w:rPr>
          <w:sz w:val="20"/>
          <w:szCs w:val="20"/>
        </w:rPr>
        <w:t xml:space="preserve">  </w:t>
      </w:r>
    </w:p>
    <w:p w14:paraId="07070F62" w14:textId="13C725E8" w:rsidR="00B16CF0" w:rsidRPr="004F0D45" w:rsidRDefault="007C1CE0">
      <w:pPr>
        <w:pStyle w:val="ListParagraph"/>
        <w:numPr>
          <w:ilvl w:val="0"/>
          <w:numId w:val="10"/>
        </w:numPr>
        <w:tabs>
          <w:tab w:val="num" w:pos="360"/>
        </w:tabs>
        <w:spacing w:before="120"/>
        <w:ind w:left="714" w:hanging="357"/>
        <w:jc w:val="both"/>
        <w:rPr>
          <w:sz w:val="20"/>
          <w:szCs w:val="20"/>
        </w:rPr>
      </w:pPr>
      <w:r w:rsidRPr="004F0D45">
        <w:rPr>
          <w:sz w:val="20"/>
          <w:szCs w:val="20"/>
        </w:rPr>
        <w:t>Prioritize monitoring PDCCH Type 0/0A/1/2 in CSS over UE dedicated semi-statically scheduled uplink transmission</w:t>
      </w:r>
      <w:r w:rsidR="00B16CF0" w:rsidRPr="004F0D45">
        <w:rPr>
          <w:sz w:val="20"/>
          <w:szCs w:val="20"/>
        </w:rPr>
        <w:t>.</w:t>
      </w:r>
    </w:p>
    <w:p w14:paraId="4B45F402" w14:textId="3FB3E13E" w:rsidR="00244404" w:rsidRPr="004F0D45" w:rsidRDefault="007C1CE0">
      <w:pPr>
        <w:pStyle w:val="ListParagraph"/>
        <w:numPr>
          <w:ilvl w:val="0"/>
          <w:numId w:val="10"/>
        </w:numPr>
        <w:tabs>
          <w:tab w:val="num" w:pos="360"/>
        </w:tabs>
        <w:spacing w:before="120"/>
        <w:ind w:left="714" w:hanging="357"/>
        <w:jc w:val="both"/>
        <w:rPr>
          <w:sz w:val="20"/>
          <w:szCs w:val="20"/>
        </w:rPr>
      </w:pPr>
      <w:r w:rsidRPr="004F0D45">
        <w:rPr>
          <w:sz w:val="20"/>
          <w:szCs w:val="20"/>
        </w:rPr>
        <w:t>When uplink and downlink scheduling does not allow for the gua</w:t>
      </w:r>
      <w:r w:rsidR="00021298" w:rsidRPr="004F0D45">
        <w:rPr>
          <w:sz w:val="20"/>
          <w:szCs w:val="20"/>
        </w:rPr>
        <w:t>r</w:t>
      </w:r>
      <w:r w:rsidRPr="004F0D45">
        <w:rPr>
          <w:sz w:val="20"/>
          <w:szCs w:val="20"/>
        </w:rPr>
        <w:t>d-gap required for Tx-Rx and Rx-Tx turn-around by the standard then deprioritize one of them as if a collision have happened according to the respective rules.</w:t>
      </w:r>
    </w:p>
    <w:p w14:paraId="78059664" w14:textId="74B49D9D" w:rsidR="0079535A" w:rsidRPr="004F0D45" w:rsidRDefault="0079535A" w:rsidP="005D664D">
      <w:pPr>
        <w:spacing w:before="180" w:after="0"/>
        <w:jc w:val="both"/>
        <w:rPr>
          <w:rFonts w:cstheme="minorHAnsi"/>
          <w:b/>
          <w:bCs/>
          <w:i/>
          <w:iCs/>
        </w:rPr>
      </w:pPr>
      <w:bookmarkStart w:id="30" w:name="_Hlk127437728"/>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12</w:t>
      </w:r>
      <w:r w:rsidRPr="004F0D45">
        <w:rPr>
          <w:b/>
          <w:bCs/>
          <w:i/>
          <w:iCs/>
        </w:rPr>
        <w:fldChar w:fldCharType="end"/>
      </w:r>
      <w:r w:rsidRPr="004F0D45">
        <w:rPr>
          <w:rFonts w:cstheme="minorHAnsi"/>
          <w:b/>
          <w:bCs/>
          <w:i/>
          <w:iCs/>
        </w:rPr>
        <w:t xml:space="preserve">: </w:t>
      </w:r>
      <w:bookmarkStart w:id="31" w:name="_Ref118363544"/>
      <w:r w:rsidR="00514FAA" w:rsidRPr="004F0D45">
        <w:rPr>
          <w:rFonts w:cstheme="minorHAnsi"/>
          <w:b/>
          <w:bCs/>
          <w:i/>
          <w:iCs/>
        </w:rPr>
        <w:t xml:space="preserve">Adopt the following prioritization rules </w:t>
      </w:r>
      <w:bookmarkEnd w:id="30"/>
      <w:r w:rsidR="00514FAA" w:rsidRPr="004F0D45">
        <w:rPr>
          <w:rFonts w:cstheme="minorHAnsi"/>
          <w:b/>
          <w:bCs/>
          <w:i/>
          <w:iCs/>
        </w:rPr>
        <w:t>(</w:t>
      </w:r>
      <w:r w:rsidR="00C63B79" w:rsidRPr="004F0D45">
        <w:rPr>
          <w:rFonts w:cstheme="minorHAnsi"/>
          <w:b/>
          <w:bCs/>
          <w:i/>
          <w:iCs/>
        </w:rPr>
        <w:t>assuming t</w:t>
      </w:r>
      <w:r w:rsidR="00514FAA" w:rsidRPr="004F0D45">
        <w:rPr>
          <w:rFonts w:cstheme="minorHAnsi"/>
          <w:b/>
          <w:bCs/>
          <w:i/>
          <w:iCs/>
        </w:rPr>
        <w:t>he specific collision can occur):</w:t>
      </w:r>
      <w:bookmarkEnd w:id="31"/>
    </w:p>
    <w:p w14:paraId="1B3D4EFE" w14:textId="2430F0C7" w:rsidR="00C63B79" w:rsidRPr="004F0D45" w:rsidRDefault="00997013">
      <w:pPr>
        <w:pStyle w:val="ListParagraph"/>
        <w:numPr>
          <w:ilvl w:val="0"/>
          <w:numId w:val="11"/>
        </w:numPr>
        <w:tabs>
          <w:tab w:val="num" w:pos="360"/>
        </w:tabs>
        <w:ind w:left="641" w:hanging="357"/>
        <w:contextualSpacing w:val="0"/>
        <w:jc w:val="both"/>
        <w:rPr>
          <w:b/>
          <w:bCs/>
          <w:i/>
          <w:iCs/>
          <w:sz w:val="20"/>
          <w:szCs w:val="20"/>
        </w:rPr>
      </w:pPr>
      <w:r w:rsidRPr="004F0D45">
        <w:rPr>
          <w:b/>
          <w:bCs/>
          <w:i/>
          <w:iCs/>
          <w:sz w:val="20"/>
          <w:szCs w:val="20"/>
        </w:rPr>
        <w:t>Prioritize d</w:t>
      </w:r>
      <w:r w:rsidR="00C63B79" w:rsidRPr="004F0D45">
        <w:rPr>
          <w:b/>
          <w:bCs/>
          <w:i/>
          <w:iCs/>
          <w:sz w:val="20"/>
          <w:szCs w:val="20"/>
        </w:rPr>
        <w:t xml:space="preserve">ynamic scheduling over semi-static scheduling, except </w:t>
      </w:r>
      <w:r w:rsidRPr="004F0D45">
        <w:rPr>
          <w:b/>
          <w:bCs/>
          <w:i/>
          <w:iCs/>
          <w:sz w:val="20"/>
          <w:szCs w:val="20"/>
        </w:rPr>
        <w:t>in the case</w:t>
      </w:r>
      <w:r w:rsidR="001C52B5" w:rsidRPr="004F0D45">
        <w:rPr>
          <w:b/>
          <w:bCs/>
          <w:i/>
          <w:iCs/>
          <w:sz w:val="20"/>
          <w:szCs w:val="20"/>
        </w:rPr>
        <w:t>s</w:t>
      </w:r>
      <w:r w:rsidRPr="004F0D45">
        <w:rPr>
          <w:b/>
          <w:bCs/>
          <w:i/>
          <w:iCs/>
          <w:sz w:val="20"/>
          <w:szCs w:val="20"/>
        </w:rPr>
        <w:t xml:space="preserve"> of</w:t>
      </w:r>
      <w:r w:rsidR="00C63B79" w:rsidRPr="004F0D45">
        <w:rPr>
          <w:b/>
          <w:bCs/>
          <w:i/>
          <w:iCs/>
          <w:sz w:val="20"/>
          <w:szCs w:val="20"/>
        </w:rPr>
        <w:t xml:space="preserve"> SSB</w:t>
      </w:r>
      <w:r w:rsidR="00CA7B03" w:rsidRPr="004F0D45">
        <w:rPr>
          <w:b/>
          <w:bCs/>
          <w:i/>
          <w:iCs/>
          <w:sz w:val="20"/>
          <w:szCs w:val="20"/>
        </w:rPr>
        <w:t xml:space="preserve"> and Msg1/Msg</w:t>
      </w:r>
      <w:r w:rsidR="001C52B5" w:rsidRPr="004F0D45">
        <w:rPr>
          <w:b/>
          <w:bCs/>
          <w:i/>
          <w:iCs/>
          <w:sz w:val="20"/>
          <w:szCs w:val="20"/>
        </w:rPr>
        <w:t>A in CBRA</w:t>
      </w:r>
      <w:r w:rsidR="00C63B79" w:rsidRPr="004F0D45">
        <w:rPr>
          <w:b/>
          <w:bCs/>
          <w:i/>
          <w:iCs/>
          <w:sz w:val="20"/>
          <w:szCs w:val="20"/>
        </w:rPr>
        <w:t xml:space="preserve">. </w:t>
      </w:r>
    </w:p>
    <w:p w14:paraId="4E1F6F7B" w14:textId="01475DEB" w:rsidR="00C63B79" w:rsidRPr="004F0D45" w:rsidRDefault="00C63B79">
      <w:pPr>
        <w:pStyle w:val="ListParagraph"/>
        <w:numPr>
          <w:ilvl w:val="0"/>
          <w:numId w:val="11"/>
        </w:numPr>
        <w:ind w:left="641" w:hanging="357"/>
        <w:contextualSpacing w:val="0"/>
        <w:jc w:val="both"/>
        <w:rPr>
          <w:rFonts w:cstheme="minorHAnsi"/>
          <w:b/>
          <w:bCs/>
          <w:i/>
          <w:iCs/>
          <w:sz w:val="20"/>
          <w:szCs w:val="20"/>
        </w:rPr>
      </w:pPr>
      <w:r w:rsidRPr="004F0D45">
        <w:rPr>
          <w:b/>
          <w:bCs/>
          <w:i/>
          <w:iCs/>
          <w:sz w:val="20"/>
          <w:szCs w:val="20"/>
        </w:rPr>
        <w:t xml:space="preserve">Leave </w:t>
      </w:r>
      <w:r w:rsidR="001A44EF" w:rsidRPr="004F0D45">
        <w:rPr>
          <w:b/>
          <w:bCs/>
          <w:i/>
          <w:iCs/>
          <w:sz w:val="20"/>
          <w:szCs w:val="20"/>
        </w:rPr>
        <w:t>prioritization</w:t>
      </w:r>
      <w:r w:rsidRPr="004F0D45">
        <w:rPr>
          <w:b/>
          <w:bCs/>
          <w:i/>
          <w:iCs/>
          <w:sz w:val="20"/>
          <w:szCs w:val="20"/>
        </w:rPr>
        <w:t xml:space="preserve"> to UE implementation whe</w:t>
      </w:r>
      <w:r w:rsidR="001A44EF" w:rsidRPr="004F0D45">
        <w:rPr>
          <w:b/>
          <w:bCs/>
          <w:i/>
          <w:iCs/>
          <w:sz w:val="20"/>
          <w:szCs w:val="20"/>
        </w:rPr>
        <w:t>n</w:t>
      </w:r>
      <w:r w:rsidRPr="004F0D45">
        <w:rPr>
          <w:b/>
          <w:bCs/>
          <w:i/>
          <w:iCs/>
          <w:sz w:val="20"/>
          <w:szCs w:val="20"/>
        </w:rPr>
        <w:t xml:space="preserve"> </w:t>
      </w:r>
      <w:r w:rsidR="009777E5" w:rsidRPr="004F0D45">
        <w:rPr>
          <w:b/>
          <w:bCs/>
          <w:i/>
          <w:iCs/>
          <w:sz w:val="20"/>
          <w:szCs w:val="20"/>
        </w:rPr>
        <w:t>Msg1</w:t>
      </w:r>
      <w:r w:rsidR="009777E5" w:rsidRPr="004F0D45">
        <w:rPr>
          <w:b/>
          <w:bCs/>
          <w:i/>
          <w:iCs/>
          <w:sz w:val="20"/>
          <w:szCs w:val="20"/>
          <w:lang w:val="en-GB"/>
        </w:rPr>
        <w:t>/</w:t>
      </w:r>
      <w:r w:rsidR="009777E5" w:rsidRPr="004F0D45">
        <w:rPr>
          <w:b/>
          <w:bCs/>
          <w:i/>
          <w:iCs/>
          <w:sz w:val="20"/>
          <w:szCs w:val="20"/>
        </w:rPr>
        <w:t>MsgA</w:t>
      </w:r>
      <w:r w:rsidRPr="004F0D45">
        <w:rPr>
          <w:b/>
          <w:bCs/>
          <w:i/>
          <w:iCs/>
          <w:sz w:val="20"/>
          <w:szCs w:val="20"/>
        </w:rPr>
        <w:t xml:space="preserve"> </w:t>
      </w:r>
      <w:r w:rsidR="009777E5" w:rsidRPr="004F0D45">
        <w:rPr>
          <w:b/>
          <w:bCs/>
          <w:i/>
          <w:iCs/>
          <w:sz w:val="20"/>
          <w:szCs w:val="20"/>
        </w:rPr>
        <w:t xml:space="preserve">in </w:t>
      </w:r>
      <w:r w:rsidRPr="004F0D45">
        <w:rPr>
          <w:b/>
          <w:bCs/>
          <w:i/>
          <w:iCs/>
          <w:sz w:val="20"/>
          <w:szCs w:val="20"/>
        </w:rPr>
        <w:t>CBRA collid</w:t>
      </w:r>
      <w:r w:rsidR="001A44EF" w:rsidRPr="004F0D45">
        <w:rPr>
          <w:b/>
          <w:bCs/>
          <w:i/>
          <w:iCs/>
          <w:sz w:val="20"/>
          <w:szCs w:val="20"/>
        </w:rPr>
        <w:t>es with</w:t>
      </w:r>
      <w:r w:rsidRPr="004F0D45">
        <w:rPr>
          <w:b/>
          <w:bCs/>
          <w:i/>
          <w:iCs/>
          <w:sz w:val="20"/>
          <w:szCs w:val="20"/>
        </w:rPr>
        <w:t xml:space="preserve"> reception.</w:t>
      </w:r>
    </w:p>
    <w:p w14:paraId="7403F03E" w14:textId="7151DCF5" w:rsidR="00C63B79" w:rsidRPr="004F0D45" w:rsidRDefault="001C52B5">
      <w:pPr>
        <w:pStyle w:val="ListParagraph"/>
        <w:numPr>
          <w:ilvl w:val="0"/>
          <w:numId w:val="11"/>
        </w:numPr>
        <w:ind w:left="641" w:hanging="357"/>
        <w:contextualSpacing w:val="0"/>
        <w:jc w:val="both"/>
        <w:rPr>
          <w:rFonts w:cstheme="minorHAnsi"/>
          <w:b/>
          <w:bCs/>
          <w:i/>
          <w:iCs/>
          <w:sz w:val="20"/>
          <w:szCs w:val="20"/>
        </w:rPr>
      </w:pPr>
      <w:r w:rsidRPr="004F0D45">
        <w:rPr>
          <w:rFonts w:cstheme="minorHAnsi"/>
          <w:b/>
          <w:bCs/>
          <w:i/>
          <w:iCs/>
          <w:sz w:val="20"/>
          <w:szCs w:val="20"/>
        </w:rPr>
        <w:t xml:space="preserve">Prioritize </w:t>
      </w:r>
      <w:r w:rsidR="00C63B79" w:rsidRPr="004F0D45">
        <w:rPr>
          <w:rFonts w:cstheme="minorHAnsi"/>
          <w:b/>
          <w:bCs/>
          <w:i/>
          <w:iCs/>
          <w:sz w:val="20"/>
          <w:szCs w:val="20"/>
        </w:rPr>
        <w:t>SSB over semi-statically configured transmission</w:t>
      </w:r>
      <w:r w:rsidR="00B9515B" w:rsidRPr="004F0D45">
        <w:rPr>
          <w:rFonts w:cstheme="minorHAnsi"/>
          <w:b/>
          <w:bCs/>
          <w:i/>
          <w:iCs/>
          <w:sz w:val="20"/>
          <w:szCs w:val="20"/>
        </w:rPr>
        <w:t xml:space="preserve"> </w:t>
      </w:r>
      <w:r w:rsidR="007C1CE0" w:rsidRPr="004F0D45">
        <w:rPr>
          <w:rFonts w:cstheme="minorHAnsi"/>
          <w:b/>
          <w:bCs/>
          <w:i/>
          <w:iCs/>
          <w:sz w:val="20"/>
          <w:szCs w:val="20"/>
        </w:rPr>
        <w:t>other than Msg1/MsgA in CBRA</w:t>
      </w:r>
      <w:r w:rsidR="00B9515B" w:rsidRPr="004F0D45">
        <w:rPr>
          <w:rFonts w:cstheme="minorHAnsi"/>
          <w:b/>
          <w:bCs/>
          <w:i/>
          <w:iCs/>
          <w:sz w:val="20"/>
          <w:szCs w:val="20"/>
        </w:rPr>
        <w:t>.</w:t>
      </w:r>
    </w:p>
    <w:p w14:paraId="48A26024" w14:textId="13F54376" w:rsidR="00C63B79" w:rsidRPr="004F0D45" w:rsidRDefault="00C63B79">
      <w:pPr>
        <w:pStyle w:val="ListParagraph"/>
        <w:numPr>
          <w:ilvl w:val="0"/>
          <w:numId w:val="11"/>
        </w:numPr>
        <w:ind w:left="641" w:hanging="357"/>
        <w:contextualSpacing w:val="0"/>
        <w:jc w:val="both"/>
        <w:rPr>
          <w:rFonts w:cstheme="minorHAnsi"/>
          <w:b/>
          <w:bCs/>
          <w:i/>
          <w:iCs/>
          <w:sz w:val="20"/>
          <w:szCs w:val="20"/>
        </w:rPr>
      </w:pPr>
      <w:r w:rsidRPr="004F0D45">
        <w:rPr>
          <w:rFonts w:cstheme="minorHAnsi"/>
          <w:b/>
          <w:bCs/>
          <w:i/>
          <w:iCs/>
          <w:sz w:val="20"/>
          <w:szCs w:val="20"/>
        </w:rPr>
        <w:lastRenderedPageBreak/>
        <w:t xml:space="preserve">Prioritize </w:t>
      </w:r>
      <w:r w:rsidR="0011074B" w:rsidRPr="004F0D45">
        <w:rPr>
          <w:b/>
          <w:bCs/>
          <w:i/>
          <w:iCs/>
          <w:sz w:val="20"/>
          <w:szCs w:val="20"/>
        </w:rPr>
        <w:t>m</w:t>
      </w:r>
      <w:r w:rsidRPr="004F0D45">
        <w:rPr>
          <w:b/>
          <w:bCs/>
          <w:i/>
          <w:iCs/>
          <w:sz w:val="20"/>
          <w:szCs w:val="20"/>
        </w:rPr>
        <w:t xml:space="preserve">onitoring PDCCH Type 0/0A/1/2 </w:t>
      </w:r>
      <w:r w:rsidR="001C52B5" w:rsidRPr="004F0D45">
        <w:rPr>
          <w:b/>
          <w:bCs/>
          <w:i/>
          <w:iCs/>
          <w:sz w:val="20"/>
          <w:szCs w:val="20"/>
        </w:rPr>
        <w:t>in</w:t>
      </w:r>
      <w:r w:rsidRPr="004F0D45">
        <w:rPr>
          <w:b/>
          <w:bCs/>
          <w:i/>
          <w:iCs/>
          <w:sz w:val="20"/>
          <w:szCs w:val="20"/>
        </w:rPr>
        <w:t xml:space="preserve"> CSS over UE dedicated semi-statically scheduled uplink transmission.</w:t>
      </w:r>
    </w:p>
    <w:p w14:paraId="284885A5" w14:textId="7F5CBA61" w:rsidR="007C1CE0" w:rsidRPr="004F0D45" w:rsidRDefault="001A44EF">
      <w:pPr>
        <w:pStyle w:val="ListParagraph"/>
        <w:numPr>
          <w:ilvl w:val="0"/>
          <w:numId w:val="11"/>
        </w:numPr>
        <w:tabs>
          <w:tab w:val="num" w:pos="360"/>
        </w:tabs>
        <w:ind w:left="641" w:hanging="357"/>
        <w:contextualSpacing w:val="0"/>
        <w:jc w:val="both"/>
        <w:rPr>
          <w:b/>
          <w:bCs/>
          <w:i/>
          <w:iCs/>
          <w:sz w:val="20"/>
          <w:szCs w:val="20"/>
          <w:lang w:val="hu-HU"/>
        </w:rPr>
      </w:pPr>
      <w:r w:rsidRPr="004F0D45">
        <w:rPr>
          <w:b/>
          <w:bCs/>
          <w:i/>
          <w:iCs/>
          <w:sz w:val="20"/>
          <w:szCs w:val="20"/>
        </w:rPr>
        <w:t>When uplink and downlink scheduling does not allow for the gurad-gap required for Tx-Rx and Rx-Tx turn-around by the standard then deprioritize one of them as if a collision have happened according to the respective rules.</w:t>
      </w:r>
      <w:bookmarkStart w:id="32" w:name="_Hlk110339906"/>
    </w:p>
    <w:p w14:paraId="08A77902" w14:textId="5884FCD1" w:rsidR="00AF2F3C" w:rsidRPr="004F0D45" w:rsidRDefault="00AF2F3C" w:rsidP="005D664D">
      <w:pPr>
        <w:pStyle w:val="Heading2"/>
        <w:jc w:val="both"/>
      </w:pPr>
      <w:r w:rsidRPr="004F0D45">
        <w:t xml:space="preserve">Random </w:t>
      </w:r>
      <w:r w:rsidR="00D670FB" w:rsidRPr="004F0D45">
        <w:t>a</w:t>
      </w:r>
      <w:r w:rsidRPr="004F0D45">
        <w:t xml:space="preserve">ccess </w:t>
      </w:r>
      <w:r w:rsidR="00D670FB" w:rsidRPr="004F0D45">
        <w:t>p</w:t>
      </w:r>
      <w:r w:rsidRPr="004F0D45">
        <w:t xml:space="preserve">rocedure in SBFD </w:t>
      </w:r>
    </w:p>
    <w:p w14:paraId="10161910" w14:textId="0AA7971C" w:rsidR="007D44A7" w:rsidRPr="004F0D45" w:rsidRDefault="007D44A7" w:rsidP="005D664D">
      <w:pPr>
        <w:jc w:val="both"/>
      </w:pPr>
      <w:r w:rsidRPr="004F0D45">
        <w:t xml:space="preserve">The additional UL resources on SBFD partitioned slots/symbols can be beneficial for random access procedure by providing more resources for PRACH transmissions. </w:t>
      </w:r>
      <w:r w:rsidR="00057635" w:rsidRPr="004F0D45">
        <w:t xml:space="preserve">Enabling PRACH transmissions on UL-SB of partitioned slots can reduce latency of initial access and increase PRACH capacity. </w:t>
      </w:r>
      <w:r w:rsidRPr="004F0D45">
        <w:t xml:space="preserve">In the current specification, a PRACH occasion is valid only if it coincides with symbols defined as uplink by </w:t>
      </w:r>
      <w:r w:rsidRPr="004F0D45">
        <w:rPr>
          <w:i/>
          <w:iCs/>
        </w:rPr>
        <w:t>tdd-UL-DL-ConfigurationCommon.</w:t>
      </w:r>
      <w:r w:rsidRPr="004F0D45">
        <w:t xml:space="preserve"> Because of this restriction, legacy UEs cannot benefit from any PRACH occasions that is made available on SBFD partitioned slots/symbols. However, by introducing new validation rules for PRACH occasions, SBFD-aware UEs can be configured to transmit PRACH on partitioned slots/symbols. For UEs in idle mode, the SBFD configuration together with PRACH configuration (including PRACH occasion on partitioned slots) can be provided within SIB1. However, as mentioned above, the current specification restricts PRACH transmissions to UL-only slots. Therefore, it is important to introduce enhancements to enable PRACH transmissions within UL-SB of a SBFD-partitioned slots/symbols. </w:t>
      </w:r>
    </w:p>
    <w:p w14:paraId="2B0BCF61" w14:textId="148B0DA9" w:rsidR="007D44A7" w:rsidRPr="004F0D45" w:rsidRDefault="007D44A7" w:rsidP="005D664D">
      <w:pPr>
        <w:jc w:val="both"/>
        <w:rPr>
          <w:b/>
          <w:bCs/>
          <w:i/>
          <w:iCs/>
        </w:rPr>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F230AB" w:rsidRPr="004F0D45">
        <w:rPr>
          <w:b/>
          <w:bCs/>
          <w:i/>
          <w:iCs/>
          <w:noProof/>
        </w:rPr>
        <w:t>3</w:t>
      </w:r>
      <w:r w:rsidRPr="004F0D45">
        <w:rPr>
          <w:b/>
          <w:bCs/>
          <w:i/>
          <w:iCs/>
        </w:rPr>
        <w:fldChar w:fldCharType="end"/>
      </w:r>
      <w:r w:rsidRPr="004F0D45">
        <w:rPr>
          <w:b/>
          <w:bCs/>
          <w:i/>
          <w:iCs/>
        </w:rPr>
        <w:t xml:space="preserve">: </w:t>
      </w:r>
      <w:bookmarkStart w:id="33" w:name="_Ref127187589"/>
      <w:r w:rsidRPr="004F0D45">
        <w:rPr>
          <w:b/>
          <w:bCs/>
          <w:i/>
          <w:iCs/>
        </w:rPr>
        <w:t xml:space="preserve">Enabling PRACH </w:t>
      </w:r>
      <w:r w:rsidR="00880BBB" w:rsidRPr="004F0D45">
        <w:rPr>
          <w:b/>
          <w:bCs/>
          <w:i/>
          <w:iCs/>
        </w:rPr>
        <w:t>t</w:t>
      </w:r>
      <w:r w:rsidRPr="004F0D45">
        <w:rPr>
          <w:b/>
          <w:bCs/>
          <w:i/>
          <w:iCs/>
        </w:rPr>
        <w:t>ransmissions on SBFD partitioned slots/symbols can be beneficial to SBFD-aware UEs. It can make more PRACH resources available and reduce initial access latency.</w:t>
      </w:r>
      <w:bookmarkEnd w:id="33"/>
      <w:r w:rsidRPr="004F0D45">
        <w:rPr>
          <w:b/>
          <w:bCs/>
          <w:i/>
          <w:iCs/>
        </w:rPr>
        <w:t xml:space="preserve"> </w:t>
      </w:r>
    </w:p>
    <w:p w14:paraId="1493D671" w14:textId="0A42DB70" w:rsidR="00AF2F3C" w:rsidRPr="004F0D45" w:rsidRDefault="007D44A7" w:rsidP="005D664D">
      <w:pPr>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13</w:t>
      </w:r>
      <w:r w:rsidRPr="004F0D45">
        <w:rPr>
          <w:b/>
          <w:bCs/>
          <w:i/>
          <w:iCs/>
        </w:rPr>
        <w:fldChar w:fldCharType="end"/>
      </w:r>
      <w:r w:rsidRPr="004F0D45">
        <w:rPr>
          <w:rFonts w:cstheme="minorHAnsi"/>
          <w:b/>
          <w:bCs/>
          <w:i/>
          <w:iCs/>
        </w:rPr>
        <w:t xml:space="preserve">: </w:t>
      </w:r>
      <w:bookmarkStart w:id="34" w:name="_Ref127187625"/>
      <w:r w:rsidR="00DB6A7F" w:rsidRPr="004F0D45">
        <w:rPr>
          <w:rFonts w:cstheme="minorHAnsi"/>
          <w:b/>
          <w:bCs/>
          <w:i/>
          <w:iCs/>
        </w:rPr>
        <w:t>S</w:t>
      </w:r>
      <w:r w:rsidR="00DB6A7F" w:rsidRPr="004F0D45">
        <w:rPr>
          <w:b/>
          <w:bCs/>
          <w:i/>
          <w:iCs/>
        </w:rPr>
        <w:t>tudy the feasibility of configuring valid PRACH occasions on SBFD partitioned slots/symbols</w:t>
      </w:r>
      <w:bookmarkEnd w:id="34"/>
      <w:r w:rsidR="00DB6A7F" w:rsidRPr="004F0D45">
        <w:rPr>
          <w:rFonts w:cstheme="minorHAnsi"/>
          <w:b/>
          <w:bCs/>
          <w:i/>
          <w:iCs/>
        </w:rPr>
        <w:t xml:space="preserve"> </w:t>
      </w:r>
    </w:p>
    <w:p w14:paraId="0FD86DB6" w14:textId="0CE42FBC" w:rsidR="00B91AEF" w:rsidRPr="004F0D45" w:rsidRDefault="00B77611" w:rsidP="005D664D">
      <w:pPr>
        <w:pStyle w:val="Heading2"/>
        <w:spacing w:before="240"/>
        <w:ind w:left="578" w:hanging="578"/>
        <w:jc w:val="both"/>
      </w:pPr>
      <w:r w:rsidRPr="004F0D45">
        <w:t>Resource allocation for SBFD-aware UEs</w:t>
      </w:r>
    </w:p>
    <w:p w14:paraId="280D3EFF" w14:textId="3C865791" w:rsidR="00C03E8A" w:rsidRPr="004F0D45" w:rsidRDefault="00C03E8A" w:rsidP="005D664D">
      <w:pPr>
        <w:spacing w:after="120"/>
        <w:jc w:val="both"/>
      </w:pPr>
      <w:r w:rsidRPr="004F0D45">
        <w:rPr>
          <w:lang w:val="en-US" w:eastAsia="zh-CN"/>
        </w:rPr>
        <w:t>In</w:t>
      </w:r>
      <w:r w:rsidR="00206076" w:rsidRPr="004F0D45">
        <w:rPr>
          <w:lang w:val="en-US" w:eastAsia="zh-CN"/>
        </w:rPr>
        <w:t xml:space="preserve"> previous meetings</w:t>
      </w:r>
      <w:r w:rsidRPr="004F0D45">
        <w:rPr>
          <w:lang w:val="en-US" w:eastAsia="zh-CN"/>
        </w:rPr>
        <w:t>, RAN1 reached the following agreements to study potential enhancements of resource allocation in SBFD scheme. In this section, we provide views on the</w:t>
      </w:r>
      <w:r w:rsidR="00EC4308" w:rsidRPr="004F0D45">
        <w:rPr>
          <w:lang w:val="en-US" w:eastAsia="zh-CN"/>
        </w:rPr>
        <w:t xml:space="preserve"> possible issue and the corresponding enhancements for resource allocation in SBFD scheme.</w:t>
      </w:r>
    </w:p>
    <w:tbl>
      <w:tblPr>
        <w:tblStyle w:val="TableGrid"/>
        <w:tblW w:w="0" w:type="auto"/>
        <w:tblLook w:val="04A0" w:firstRow="1" w:lastRow="0" w:firstColumn="1" w:lastColumn="0" w:noHBand="0" w:noVBand="1"/>
      </w:tblPr>
      <w:tblGrid>
        <w:gridCol w:w="9629"/>
      </w:tblGrid>
      <w:tr w:rsidR="00C56C73" w:rsidRPr="004F0D45" w14:paraId="61B898DE" w14:textId="77777777" w:rsidTr="00C56C73">
        <w:tc>
          <w:tcPr>
            <w:tcW w:w="9629" w:type="dxa"/>
          </w:tcPr>
          <w:tbl>
            <w:tblPr>
              <w:tblW w:w="0" w:type="auto"/>
              <w:tblLook w:val="04A0" w:firstRow="1" w:lastRow="0" w:firstColumn="1" w:lastColumn="0" w:noHBand="0" w:noVBand="1"/>
            </w:tblPr>
            <w:tblGrid>
              <w:gridCol w:w="9413"/>
            </w:tblGrid>
            <w:tr w:rsidR="00C56C73" w:rsidRPr="004F0D45" w14:paraId="3913D98D" w14:textId="77777777" w:rsidTr="001B74AE">
              <w:tc>
                <w:tcPr>
                  <w:tcW w:w="9629" w:type="dxa"/>
                  <w:hideMark/>
                </w:tcPr>
                <w:tbl>
                  <w:tblPr>
                    <w:tblW w:w="0" w:type="auto"/>
                    <w:tblLook w:val="04A0" w:firstRow="1" w:lastRow="0" w:firstColumn="1" w:lastColumn="0" w:noHBand="0" w:noVBand="1"/>
                  </w:tblPr>
                  <w:tblGrid>
                    <w:gridCol w:w="9197"/>
                  </w:tblGrid>
                  <w:tr w:rsidR="00C56C73" w:rsidRPr="004F0D45" w14:paraId="1064D18D" w14:textId="77777777">
                    <w:tc>
                      <w:tcPr>
                        <w:tcW w:w="9629" w:type="dxa"/>
                        <w:hideMark/>
                      </w:tcPr>
                      <w:p w14:paraId="7C938B0B" w14:textId="47AECE57" w:rsidR="00C56C73" w:rsidRPr="004F0D45" w:rsidRDefault="00C56C73" w:rsidP="00762767">
                        <w:pPr>
                          <w:spacing w:after="0"/>
                          <w:jc w:val="both"/>
                          <w:rPr>
                            <w:b/>
                            <w:bCs/>
                            <w:lang w:eastAsia="ko-KR"/>
                          </w:rPr>
                        </w:pPr>
                        <w:bookmarkStart w:id="35" w:name="_Hlk115083532"/>
                        <w:bookmarkEnd w:id="32"/>
                        <w:r w:rsidRPr="004F0D45">
                          <w:rPr>
                            <w:b/>
                            <w:bCs/>
                            <w:lang w:eastAsia="ko-KR"/>
                          </w:rPr>
                          <w:t>Agreement</w:t>
                        </w:r>
                        <w:r w:rsidR="005135FA" w:rsidRPr="004F0D45">
                          <w:rPr>
                            <w:b/>
                            <w:bCs/>
                            <w:lang w:val="en-US" w:eastAsia="zh-CN"/>
                          </w:rPr>
                          <w:t xml:space="preserve"> RAN1#109</w:t>
                        </w:r>
                      </w:p>
                      <w:p w14:paraId="56AEA50E" w14:textId="77777777" w:rsidR="00C56C73" w:rsidRPr="004F0D45" w:rsidRDefault="00C56C73" w:rsidP="00762767">
                        <w:pPr>
                          <w:spacing w:after="0"/>
                          <w:jc w:val="both"/>
                          <w:rPr>
                            <w:lang w:eastAsia="ko-KR"/>
                          </w:rPr>
                        </w:pPr>
                        <w:r w:rsidRPr="004F0D45">
                          <w:rPr>
                            <w:lang w:eastAsia="ko-KR"/>
                          </w:rPr>
                          <w:t>Study the impact/potential enhancements of resource allocation in symbols with subbands that gNB would use for SBFD operation.</w:t>
                        </w:r>
                        <w:bookmarkEnd w:id="35"/>
                      </w:p>
                      <w:p w14:paraId="40BFF52D" w14:textId="399EA579" w:rsidR="00762767" w:rsidRPr="004F0D45" w:rsidRDefault="00762767" w:rsidP="005D664D">
                        <w:pPr>
                          <w:spacing w:after="0"/>
                          <w:jc w:val="both"/>
                          <w:rPr>
                            <w:lang w:eastAsia="ko-KR"/>
                          </w:rPr>
                        </w:pPr>
                      </w:p>
                      <w:p w14:paraId="163EE083" w14:textId="21882461" w:rsidR="00762767" w:rsidRPr="004F0D45" w:rsidRDefault="00762767" w:rsidP="005D664D">
                        <w:pPr>
                          <w:spacing w:after="0"/>
                          <w:jc w:val="both"/>
                          <w:rPr>
                            <w:b/>
                            <w:bCs/>
                            <w:lang w:eastAsia="ko-KR"/>
                          </w:rPr>
                        </w:pPr>
                        <w:r w:rsidRPr="004F0D45">
                          <w:rPr>
                            <w:b/>
                            <w:bCs/>
                            <w:lang w:eastAsia="ko-KR"/>
                          </w:rPr>
                          <w:t>Agreement</w:t>
                        </w:r>
                        <w:r w:rsidRPr="004F0D45">
                          <w:rPr>
                            <w:b/>
                            <w:bCs/>
                            <w:lang w:val="en-US" w:eastAsia="zh-CN"/>
                          </w:rPr>
                          <w:t xml:space="preserve"> RAN1#112bis-e</w:t>
                        </w:r>
                      </w:p>
                      <w:p w14:paraId="66FCD5EC" w14:textId="77777777" w:rsidR="00762767" w:rsidRPr="004F0D45" w:rsidRDefault="00762767" w:rsidP="00206076">
                        <w:pPr>
                          <w:spacing w:after="0"/>
                          <w:rPr>
                            <w:rFonts w:cs="Times"/>
                            <w:lang w:eastAsia="zh-CN"/>
                          </w:rPr>
                        </w:pPr>
                        <w:r w:rsidRPr="004F0D45">
                          <w:rPr>
                            <w:rFonts w:eastAsia="Malgun Gothic" w:cs="Times"/>
                          </w:rPr>
                          <w:t>For UL transmissions and DL receptions across SBFD symbols and non-SBFD symbols in different slots (each transmission/reception within a slot has either all SBFD or all non-SBFD symbols)</w:t>
                        </w:r>
                        <w:r w:rsidRPr="004F0D45">
                          <w:rPr>
                            <w:rFonts w:eastAsia="Malgun Gothic" w:cs="Times"/>
                            <w:lang w:eastAsia="zh-CN"/>
                          </w:rPr>
                          <w:t xml:space="preserve">, if the </w:t>
                        </w:r>
                        <w:r w:rsidRPr="004F0D45">
                          <w:rPr>
                            <w:rFonts w:eastAsia="Malgun Gothic" w:cs="Times"/>
                          </w:rPr>
                          <w:t>transmissions/receptions can be in SBFD symbols and non-SBFD symbols</w:t>
                        </w:r>
                        <w:r w:rsidRPr="004F0D45">
                          <w:rPr>
                            <w:rFonts w:eastAsia="Malgun Gothic" w:cs="Times"/>
                            <w:lang w:eastAsia="zh-CN"/>
                          </w:rPr>
                          <w:t xml:space="preserve"> with different available resources, study at least the following frequency resource allocation options for </w:t>
                        </w:r>
                        <w:r w:rsidRPr="004F0D45">
                          <w:rPr>
                            <w:rFonts w:cs="Times"/>
                            <w:lang w:eastAsia="zh-CN"/>
                          </w:rPr>
                          <w:t>PDSCH, CSI-RS, PUSCH, PUCCH, SRS for SBFD-aware UE:</w:t>
                        </w:r>
                      </w:p>
                      <w:p w14:paraId="0CA79BE0" w14:textId="77777777" w:rsidR="00762767" w:rsidRPr="004F0D45" w:rsidRDefault="00762767">
                        <w:pPr>
                          <w:numPr>
                            <w:ilvl w:val="0"/>
                            <w:numId w:val="20"/>
                          </w:numPr>
                          <w:overflowPunct/>
                          <w:autoSpaceDE/>
                          <w:autoSpaceDN/>
                          <w:adjustRightInd/>
                          <w:spacing w:after="0"/>
                          <w:rPr>
                            <w:rFonts w:eastAsia="Malgun Gothic" w:cs="Times"/>
                            <w:lang w:eastAsia="zh-CN"/>
                          </w:rPr>
                        </w:pPr>
                        <w:r w:rsidRPr="004F0D45">
                          <w:rPr>
                            <w:rFonts w:eastAsia="Malgun Gothic" w:cs="Times"/>
                            <w:lang w:eastAsia="zh-CN"/>
                          </w:rPr>
                          <w:t xml:space="preserve">Option 1: Separate FDRA determination for SBFD slots and non-SBFD slots. </w:t>
                        </w:r>
                      </w:p>
                      <w:p w14:paraId="15138B63" w14:textId="77777777" w:rsidR="00762767" w:rsidRPr="004F0D45" w:rsidRDefault="00762767">
                        <w:pPr>
                          <w:numPr>
                            <w:ilvl w:val="1"/>
                            <w:numId w:val="20"/>
                          </w:numPr>
                          <w:overflowPunct/>
                          <w:autoSpaceDE/>
                          <w:autoSpaceDN/>
                          <w:adjustRightInd/>
                          <w:spacing w:after="0"/>
                          <w:rPr>
                            <w:rFonts w:eastAsia="Malgun Gothic" w:cs="Times"/>
                            <w:lang w:eastAsia="zh-CN"/>
                          </w:rPr>
                        </w:pPr>
                        <w:r w:rsidRPr="004F0D45">
                          <w:rPr>
                            <w:rFonts w:eastAsia="Malgun Gothic" w:cs="Times"/>
                            <w:lang w:eastAsia="zh-CN"/>
                          </w:rPr>
                          <w:t>Option 1-1: Separate FDRA configurations/indications for SBFD slots and non-SBFD slots</w:t>
                        </w:r>
                      </w:p>
                      <w:p w14:paraId="29D7127C" w14:textId="77777777" w:rsidR="00762767" w:rsidRPr="004F0D45" w:rsidRDefault="00762767">
                        <w:pPr>
                          <w:numPr>
                            <w:ilvl w:val="1"/>
                            <w:numId w:val="20"/>
                          </w:numPr>
                          <w:overflowPunct/>
                          <w:autoSpaceDE/>
                          <w:autoSpaceDN/>
                          <w:adjustRightInd/>
                          <w:spacing w:after="0"/>
                          <w:rPr>
                            <w:rFonts w:eastAsia="Malgun Gothic" w:cs="Times"/>
                            <w:lang w:eastAsia="zh-CN"/>
                          </w:rPr>
                        </w:pPr>
                        <w:r w:rsidRPr="004F0D45">
                          <w:rPr>
                            <w:rFonts w:eastAsia="Malgun Gothic" w:cs="Times"/>
                            <w:lang w:eastAsia="zh-CN"/>
                          </w:rPr>
                          <w:t xml:space="preserve">Option 1-2: Separate frequency resources determined for SBFD slots and non-SBFD slots based on single FDRA configuration/indication </w:t>
                        </w:r>
                      </w:p>
                      <w:p w14:paraId="3AECD765" w14:textId="77777777" w:rsidR="00762767" w:rsidRPr="004F0D45" w:rsidRDefault="00762767">
                        <w:pPr>
                          <w:numPr>
                            <w:ilvl w:val="1"/>
                            <w:numId w:val="20"/>
                          </w:numPr>
                          <w:overflowPunct/>
                          <w:autoSpaceDE/>
                          <w:autoSpaceDN/>
                          <w:adjustRightInd/>
                          <w:spacing w:after="0"/>
                          <w:rPr>
                            <w:rFonts w:eastAsia="Malgun Gothic" w:cs="Times"/>
                            <w:lang w:eastAsia="zh-CN"/>
                          </w:rPr>
                        </w:pPr>
                        <w:r w:rsidRPr="004F0D45">
                          <w:rPr>
                            <w:rFonts w:eastAsia="Malgun Gothic" w:cs="Times"/>
                            <w:lang w:eastAsia="zh-CN"/>
                          </w:rPr>
                          <w:t>Option 1-3: single FDRA configuration/indication and RB offset(s)</w:t>
                        </w:r>
                      </w:p>
                      <w:p w14:paraId="2B1007F2" w14:textId="77777777" w:rsidR="00762767" w:rsidRPr="004F0D45" w:rsidRDefault="00762767">
                        <w:pPr>
                          <w:numPr>
                            <w:ilvl w:val="0"/>
                            <w:numId w:val="20"/>
                          </w:numPr>
                          <w:overflowPunct/>
                          <w:autoSpaceDE/>
                          <w:autoSpaceDN/>
                          <w:adjustRightInd/>
                          <w:spacing w:after="0"/>
                          <w:rPr>
                            <w:rFonts w:eastAsia="Malgun Gothic" w:cs="Times"/>
                            <w:lang w:eastAsia="zh-CN"/>
                          </w:rPr>
                        </w:pPr>
                        <w:r w:rsidRPr="004F0D45">
                          <w:rPr>
                            <w:rFonts w:eastAsia="Malgun Gothic" w:cs="Times"/>
                            <w:lang w:eastAsia="zh-CN"/>
                          </w:rPr>
                          <w:t xml:space="preserve">Option 2: Perform rate matching or puncturing on the RBs outside DL/UL subbands for DL/UL channels/signals. </w:t>
                        </w:r>
                      </w:p>
                      <w:p w14:paraId="62D6067F" w14:textId="717502F2" w:rsidR="00762767" w:rsidRPr="004F0D45" w:rsidRDefault="00762767">
                        <w:pPr>
                          <w:numPr>
                            <w:ilvl w:val="0"/>
                            <w:numId w:val="20"/>
                          </w:numPr>
                          <w:overflowPunct/>
                          <w:autoSpaceDE/>
                          <w:autoSpaceDN/>
                          <w:adjustRightInd/>
                          <w:spacing w:after="0"/>
                          <w:rPr>
                            <w:rFonts w:eastAsia="Malgun Gothic" w:cs="Times"/>
                            <w:lang w:eastAsia="zh-CN"/>
                          </w:rPr>
                        </w:pPr>
                        <w:r w:rsidRPr="004F0D45">
                          <w:rPr>
                            <w:rFonts w:eastAsia="Malgun Gothic" w:cs="Times"/>
                            <w:lang w:eastAsia="zh-CN"/>
                          </w:rPr>
                          <w:t>Option 3: A DL/UL channel/signal overlapping with RBs outside DL/UL subbands in a SBFD slot is dropped or postponed.</w:t>
                        </w:r>
                      </w:p>
                      <w:p w14:paraId="434A31C9" w14:textId="3F6A0F34" w:rsidR="00762767" w:rsidRPr="004F0D45" w:rsidRDefault="00762767" w:rsidP="005D664D">
                        <w:pPr>
                          <w:spacing w:after="0"/>
                          <w:jc w:val="both"/>
                          <w:rPr>
                            <w:lang w:eastAsia="ko-KR"/>
                          </w:rPr>
                        </w:pPr>
                      </w:p>
                    </w:tc>
                  </w:tr>
                </w:tbl>
                <w:p w14:paraId="06C7C66C" w14:textId="77777777" w:rsidR="00C56C73" w:rsidRPr="004F0D45" w:rsidRDefault="00C56C73" w:rsidP="005D664D">
                  <w:pPr>
                    <w:jc w:val="both"/>
                  </w:pPr>
                </w:p>
              </w:tc>
            </w:tr>
          </w:tbl>
          <w:p w14:paraId="498DD887" w14:textId="77777777" w:rsidR="00C56C73" w:rsidRPr="004F0D45" w:rsidRDefault="00C56C73" w:rsidP="005D664D">
            <w:pPr>
              <w:jc w:val="both"/>
            </w:pPr>
          </w:p>
        </w:tc>
      </w:tr>
    </w:tbl>
    <w:p w14:paraId="68F1D623" w14:textId="741A430A" w:rsidR="00B26D0A" w:rsidRPr="004F0D45" w:rsidRDefault="009C64FC" w:rsidP="005D664D">
      <w:pPr>
        <w:pStyle w:val="Heading3"/>
        <w:jc w:val="both"/>
      </w:pPr>
      <w:r w:rsidRPr="004F0D45">
        <w:t xml:space="preserve">PDCCH monitoring </w:t>
      </w:r>
      <w:r w:rsidR="00BE50AE" w:rsidRPr="004F0D45">
        <w:t>in</w:t>
      </w:r>
      <w:r w:rsidRPr="004F0D45">
        <w:t xml:space="preserve"> SBFD</w:t>
      </w:r>
      <w:r w:rsidR="00BE50AE" w:rsidRPr="004F0D45">
        <w:t xml:space="preserve"> symbols</w:t>
      </w:r>
    </w:p>
    <w:p w14:paraId="7736384B" w14:textId="7B30F2A4" w:rsidR="00014D24" w:rsidRPr="004F0D45" w:rsidRDefault="00014D24" w:rsidP="005D664D">
      <w:pPr>
        <w:spacing w:after="120"/>
        <w:contextualSpacing/>
        <w:jc w:val="both"/>
        <w:textAlignment w:val="baseline"/>
      </w:pPr>
      <w:r w:rsidRPr="004F0D45">
        <w:t>The current specifications provide flexible solutions for CORESET resource allocation and PDCCH monitoring</w:t>
      </w:r>
      <w:r w:rsidR="00BD5200" w:rsidRPr="004F0D45">
        <w:t>, which would suit SBFD partitioned symbols as well</w:t>
      </w:r>
      <w:r w:rsidR="00D30E03" w:rsidRPr="004F0D45">
        <w:t xml:space="preserve"> in many </w:t>
      </w:r>
      <w:r w:rsidR="003803D4" w:rsidRPr="004F0D45">
        <w:t>a</w:t>
      </w:r>
      <w:r w:rsidR="00D30E03" w:rsidRPr="004F0D45">
        <w:t>spects</w:t>
      </w:r>
      <w:r w:rsidRPr="004F0D45">
        <w:t>:</w:t>
      </w:r>
    </w:p>
    <w:p w14:paraId="761A96F2" w14:textId="15C5E09D" w:rsidR="00014D24" w:rsidRPr="004F0D45" w:rsidRDefault="00014D24">
      <w:pPr>
        <w:pStyle w:val="ListParagraph"/>
        <w:numPr>
          <w:ilvl w:val="0"/>
          <w:numId w:val="8"/>
        </w:numPr>
        <w:spacing w:after="120"/>
        <w:jc w:val="both"/>
        <w:textAlignment w:val="baseline"/>
        <w:rPr>
          <w:sz w:val="20"/>
          <w:szCs w:val="20"/>
        </w:rPr>
      </w:pPr>
      <w:r w:rsidRPr="004F0D45">
        <w:rPr>
          <w:sz w:val="20"/>
          <w:szCs w:val="20"/>
        </w:rPr>
        <w:t>CORESET FDRA</w:t>
      </w:r>
      <w:r w:rsidR="00FA724F" w:rsidRPr="004F0D45">
        <w:rPr>
          <w:sz w:val="20"/>
          <w:szCs w:val="20"/>
        </w:rPr>
        <w:t xml:space="preserve"> is</w:t>
      </w:r>
      <w:r w:rsidRPr="004F0D45">
        <w:rPr>
          <w:sz w:val="20"/>
          <w:szCs w:val="20"/>
        </w:rPr>
        <w:t xml:space="preserve"> based on</w:t>
      </w:r>
      <w:r w:rsidR="00FA724F" w:rsidRPr="004F0D45">
        <w:rPr>
          <w:sz w:val="20"/>
          <w:szCs w:val="20"/>
        </w:rPr>
        <w:t xml:space="preserve"> a bitmap of RB groups consisting of</w:t>
      </w:r>
      <w:r w:rsidRPr="004F0D45">
        <w:rPr>
          <w:sz w:val="20"/>
          <w:szCs w:val="20"/>
        </w:rPr>
        <w:t xml:space="preserve"> 6</w:t>
      </w:r>
      <w:r w:rsidR="00FA724F" w:rsidRPr="004F0D45">
        <w:rPr>
          <w:sz w:val="20"/>
          <w:szCs w:val="20"/>
        </w:rPr>
        <w:t xml:space="preserve"> </w:t>
      </w:r>
      <w:r w:rsidRPr="004F0D45">
        <w:rPr>
          <w:sz w:val="20"/>
          <w:szCs w:val="20"/>
        </w:rPr>
        <w:t>RB</w:t>
      </w:r>
      <w:r w:rsidR="00FA724F" w:rsidRPr="004F0D45">
        <w:rPr>
          <w:sz w:val="20"/>
          <w:szCs w:val="20"/>
        </w:rPr>
        <w:t>s each, thereby readily allowing for non-contiguous resource allocatios. The</w:t>
      </w:r>
      <w:r w:rsidRPr="004F0D45">
        <w:rPr>
          <w:sz w:val="20"/>
          <w:szCs w:val="20"/>
        </w:rPr>
        <w:t xml:space="preserve"> grid start</w:t>
      </w:r>
      <w:r w:rsidR="00FA724F" w:rsidRPr="004F0D45">
        <w:rPr>
          <w:sz w:val="20"/>
          <w:szCs w:val="20"/>
        </w:rPr>
        <w:t>s</w:t>
      </w:r>
      <w:r w:rsidRPr="004F0D45">
        <w:rPr>
          <w:sz w:val="20"/>
          <w:szCs w:val="20"/>
        </w:rPr>
        <w:t xml:space="preserve"> from CRB</w:t>
      </w:r>
      <w:r w:rsidR="00FA724F" w:rsidRPr="004F0D45">
        <w:rPr>
          <w:sz w:val="20"/>
          <w:szCs w:val="20"/>
        </w:rPr>
        <w:t>#</w:t>
      </w:r>
      <w:r w:rsidRPr="004F0D45">
        <w:rPr>
          <w:sz w:val="20"/>
          <w:szCs w:val="20"/>
        </w:rPr>
        <w:t>0</w:t>
      </w:r>
      <w:r w:rsidR="00FA724F" w:rsidRPr="004F0D45">
        <w:rPr>
          <w:sz w:val="20"/>
          <w:szCs w:val="20"/>
        </w:rPr>
        <w:t>.</w:t>
      </w:r>
      <w:r w:rsidR="006A5D15" w:rsidRPr="004F0D45">
        <w:rPr>
          <w:sz w:val="20"/>
          <w:szCs w:val="20"/>
        </w:rPr>
        <w:t xml:space="preserve"> Aggregations</w:t>
      </w:r>
      <w:r w:rsidR="00A66F00" w:rsidRPr="004F0D45">
        <w:rPr>
          <w:sz w:val="20"/>
          <w:szCs w:val="20"/>
        </w:rPr>
        <w:t xml:space="preserve"> </w:t>
      </w:r>
      <w:r w:rsidR="006A5D15" w:rsidRPr="004F0D45">
        <w:rPr>
          <w:sz w:val="20"/>
          <w:szCs w:val="20"/>
        </w:rPr>
        <w:t>can spread over distant CCEs.</w:t>
      </w:r>
    </w:p>
    <w:p w14:paraId="751DABEF" w14:textId="535C4E16" w:rsidR="00014D24" w:rsidRPr="004F0D45" w:rsidRDefault="00BD5200">
      <w:pPr>
        <w:pStyle w:val="ListParagraph"/>
        <w:numPr>
          <w:ilvl w:val="0"/>
          <w:numId w:val="8"/>
        </w:numPr>
        <w:spacing w:after="120"/>
        <w:jc w:val="both"/>
        <w:textAlignment w:val="baseline"/>
        <w:rPr>
          <w:sz w:val="20"/>
          <w:szCs w:val="20"/>
        </w:rPr>
      </w:pPr>
      <w:r w:rsidRPr="004F0D45">
        <w:rPr>
          <w:sz w:val="20"/>
          <w:szCs w:val="20"/>
        </w:rPr>
        <w:t>Up to</w:t>
      </w:r>
      <w:r w:rsidR="00014D24" w:rsidRPr="004F0D45">
        <w:rPr>
          <w:sz w:val="20"/>
          <w:szCs w:val="20"/>
        </w:rPr>
        <w:t xml:space="preserve"> 3 CORESETs </w:t>
      </w:r>
      <w:r w:rsidRPr="004F0D45">
        <w:rPr>
          <w:sz w:val="20"/>
          <w:szCs w:val="20"/>
        </w:rPr>
        <w:t xml:space="preserve">can be </w:t>
      </w:r>
      <w:r w:rsidR="00014D24" w:rsidRPr="004F0D45">
        <w:rPr>
          <w:sz w:val="20"/>
          <w:szCs w:val="20"/>
        </w:rPr>
        <w:t xml:space="preserve">configured </w:t>
      </w:r>
      <w:r w:rsidR="002928E4" w:rsidRPr="004F0D45">
        <w:rPr>
          <w:sz w:val="20"/>
          <w:szCs w:val="20"/>
        </w:rPr>
        <w:t xml:space="preserve">and be monitored per BWP. </w:t>
      </w:r>
      <w:r w:rsidR="00C27B98" w:rsidRPr="004F0D45">
        <w:rPr>
          <w:sz w:val="20"/>
          <w:szCs w:val="20"/>
        </w:rPr>
        <w:t xml:space="preserve">This allows e.g. configuring different CORESETs for SBFD and non-SBFD slots/symbols and using them </w:t>
      </w:r>
      <w:r w:rsidR="00D30E03" w:rsidRPr="004F0D45">
        <w:rPr>
          <w:sz w:val="20"/>
          <w:szCs w:val="20"/>
        </w:rPr>
        <w:t>with</w:t>
      </w:r>
      <w:r w:rsidR="00C27B98" w:rsidRPr="004F0D45">
        <w:rPr>
          <w:sz w:val="20"/>
          <w:szCs w:val="20"/>
        </w:rPr>
        <w:t xml:space="preserve"> different search spaces. </w:t>
      </w:r>
      <w:r w:rsidR="00014D24" w:rsidRPr="004F0D45">
        <w:rPr>
          <w:sz w:val="20"/>
          <w:szCs w:val="20"/>
        </w:rPr>
        <w:t xml:space="preserve"> </w:t>
      </w:r>
    </w:p>
    <w:p w14:paraId="21139010" w14:textId="53C38CFE" w:rsidR="00014D24" w:rsidRPr="004F0D45" w:rsidRDefault="00BB153F">
      <w:pPr>
        <w:pStyle w:val="ListParagraph"/>
        <w:numPr>
          <w:ilvl w:val="0"/>
          <w:numId w:val="8"/>
        </w:numPr>
        <w:spacing w:after="120"/>
        <w:jc w:val="both"/>
        <w:textAlignment w:val="baseline"/>
        <w:rPr>
          <w:sz w:val="20"/>
          <w:szCs w:val="20"/>
        </w:rPr>
      </w:pPr>
      <w:r w:rsidRPr="004F0D45">
        <w:rPr>
          <w:sz w:val="20"/>
          <w:szCs w:val="20"/>
        </w:rPr>
        <w:t>The t</w:t>
      </w:r>
      <w:r w:rsidR="00014D24" w:rsidRPr="004F0D45">
        <w:rPr>
          <w:sz w:val="20"/>
          <w:szCs w:val="20"/>
        </w:rPr>
        <w:t>ime pattern</w:t>
      </w:r>
      <w:r w:rsidRPr="004F0D45">
        <w:rPr>
          <w:sz w:val="20"/>
          <w:szCs w:val="20"/>
        </w:rPr>
        <w:t xml:space="preserve"> of PDCCH monitoring is</w:t>
      </w:r>
      <w:r w:rsidR="00014D24" w:rsidRPr="004F0D45">
        <w:rPr>
          <w:sz w:val="20"/>
          <w:szCs w:val="20"/>
        </w:rPr>
        <w:t xml:space="preserve"> defined by </w:t>
      </w:r>
      <w:r w:rsidRPr="004F0D45">
        <w:rPr>
          <w:sz w:val="20"/>
          <w:szCs w:val="20"/>
        </w:rPr>
        <w:t>s</w:t>
      </w:r>
      <w:r w:rsidR="00014D24" w:rsidRPr="004F0D45">
        <w:rPr>
          <w:sz w:val="20"/>
          <w:szCs w:val="20"/>
        </w:rPr>
        <w:t xml:space="preserve">earch </w:t>
      </w:r>
      <w:r w:rsidRPr="004F0D45">
        <w:rPr>
          <w:sz w:val="20"/>
          <w:szCs w:val="20"/>
        </w:rPr>
        <w:t>s</w:t>
      </w:r>
      <w:r w:rsidR="00014D24" w:rsidRPr="004F0D45">
        <w:rPr>
          <w:sz w:val="20"/>
          <w:szCs w:val="20"/>
        </w:rPr>
        <w:t>paces</w:t>
      </w:r>
      <w:r w:rsidR="008A7606" w:rsidRPr="004F0D45">
        <w:rPr>
          <w:sz w:val="20"/>
          <w:szCs w:val="20"/>
        </w:rPr>
        <w:t>, each of which defines a slot period &amp; offset</w:t>
      </w:r>
      <w:r w:rsidR="00A66F00" w:rsidRPr="004F0D45">
        <w:rPr>
          <w:sz w:val="20"/>
          <w:szCs w:val="20"/>
        </w:rPr>
        <w:t>, a slot duration</w:t>
      </w:r>
      <w:r w:rsidR="008A7606" w:rsidRPr="004F0D45">
        <w:rPr>
          <w:sz w:val="20"/>
          <w:szCs w:val="20"/>
        </w:rPr>
        <w:t xml:space="preserve"> and a symbol bitmap</w:t>
      </w:r>
      <w:r w:rsidRPr="004F0D45">
        <w:rPr>
          <w:sz w:val="20"/>
          <w:szCs w:val="20"/>
        </w:rPr>
        <w:t>.</w:t>
      </w:r>
      <w:r w:rsidR="008A7606" w:rsidRPr="004F0D45">
        <w:rPr>
          <w:sz w:val="20"/>
          <w:szCs w:val="20"/>
        </w:rPr>
        <w:t xml:space="preserve"> </w:t>
      </w:r>
      <w:r w:rsidRPr="004F0D45">
        <w:rPr>
          <w:sz w:val="20"/>
          <w:szCs w:val="20"/>
        </w:rPr>
        <w:t xml:space="preserve">Up to </w:t>
      </w:r>
      <w:r w:rsidR="00014D24" w:rsidRPr="004F0D45">
        <w:rPr>
          <w:sz w:val="20"/>
          <w:szCs w:val="20"/>
        </w:rPr>
        <w:t xml:space="preserve">10 </w:t>
      </w:r>
      <w:r w:rsidRPr="004F0D45">
        <w:rPr>
          <w:sz w:val="20"/>
          <w:szCs w:val="20"/>
        </w:rPr>
        <w:t>search spaces can be configured</w:t>
      </w:r>
      <w:r w:rsidR="00014D24" w:rsidRPr="004F0D45">
        <w:rPr>
          <w:sz w:val="20"/>
          <w:szCs w:val="20"/>
        </w:rPr>
        <w:t xml:space="preserve"> per PDCCH-Config</w:t>
      </w:r>
      <w:r w:rsidR="008F03A0" w:rsidRPr="004F0D45">
        <w:rPr>
          <w:sz w:val="20"/>
          <w:szCs w:val="20"/>
        </w:rPr>
        <w:t>.</w:t>
      </w:r>
    </w:p>
    <w:p w14:paraId="78DBC2B1" w14:textId="2E030918" w:rsidR="003F0367" w:rsidRPr="004F0D45" w:rsidRDefault="00014D24" w:rsidP="005D664D">
      <w:pPr>
        <w:spacing w:after="120"/>
        <w:jc w:val="both"/>
        <w:textAlignment w:val="baseline"/>
        <w:rPr>
          <w:color w:val="000000" w:themeColor="text1"/>
        </w:rPr>
      </w:pPr>
      <w:r w:rsidRPr="004F0D45">
        <w:lastRenderedPageBreak/>
        <w:t>Using the above features,</w:t>
      </w:r>
      <w:r w:rsidR="00E869B9" w:rsidRPr="004F0D45">
        <w:t xml:space="preserve"> although</w:t>
      </w:r>
      <w:r w:rsidRPr="004F0D45">
        <w:t xml:space="preserve"> PDCCH monitoring (including AL16) over non-contiguous </w:t>
      </w:r>
      <w:r w:rsidR="00B42376" w:rsidRPr="004F0D45">
        <w:t xml:space="preserve">set of downlink RB groups </w:t>
      </w:r>
      <w:r w:rsidRPr="004F0D45">
        <w:t>in SBFD partitioned slot/symbols seems feasible</w:t>
      </w:r>
      <w:r w:rsidR="00983D08" w:rsidRPr="004F0D45">
        <w:t>, the flexibility may be limited</w:t>
      </w:r>
      <w:r w:rsidR="00F005CB" w:rsidRPr="004F0D45">
        <w:t>.</w:t>
      </w:r>
      <w:r w:rsidR="00E869B9" w:rsidRPr="004F0D45">
        <w:t xml:space="preserve"> </w:t>
      </w:r>
      <w:r w:rsidR="00604F41" w:rsidRPr="004F0D45">
        <w:t>Configuring</w:t>
      </w:r>
      <w:r w:rsidR="00D30E03" w:rsidRPr="004F0D45">
        <w:t xml:space="preserve"> </w:t>
      </w:r>
      <w:r w:rsidR="00604F41" w:rsidRPr="004F0D45">
        <w:t xml:space="preserve">PDCCH monitoring over </w:t>
      </w:r>
      <w:r w:rsidR="00D30E03" w:rsidRPr="004F0D45">
        <w:t xml:space="preserve">different CORESETs for SBFD and </w:t>
      </w:r>
      <w:r w:rsidR="00D46389" w:rsidRPr="004F0D45">
        <w:t>non-SBFD</w:t>
      </w:r>
      <w:r w:rsidR="00D30E03" w:rsidRPr="004F0D45">
        <w:t xml:space="preserve"> slots/symbols will require configuring </w:t>
      </w:r>
      <w:r w:rsidR="00604F41" w:rsidRPr="004F0D45">
        <w:t>separate</w:t>
      </w:r>
      <w:r w:rsidR="00D30E03" w:rsidRPr="004F0D45">
        <w:t xml:space="preserve"> search space</w:t>
      </w:r>
      <w:r w:rsidR="00604F41" w:rsidRPr="004F0D45">
        <w:t xml:space="preserve">s </w:t>
      </w:r>
      <w:r w:rsidR="004F2576" w:rsidRPr="004F0D45">
        <w:t xml:space="preserve">possibly </w:t>
      </w:r>
      <w:r w:rsidR="00604F41" w:rsidRPr="004F0D45">
        <w:t xml:space="preserve">per each slot in the periodic SBFD partition pattern, each with </w:t>
      </w:r>
      <w:r w:rsidR="00604F41" w:rsidRPr="004F0D45">
        <w:rPr>
          <w:color w:val="000000" w:themeColor="text1"/>
        </w:rPr>
        <w:t>the same slot periodicity but different slot offsets</w:t>
      </w:r>
      <w:r w:rsidR="00515D5F" w:rsidRPr="004F0D45">
        <w:rPr>
          <w:color w:val="000000" w:themeColor="text1"/>
        </w:rPr>
        <w:t>,</w:t>
      </w:r>
      <w:r w:rsidR="00BA6283" w:rsidRPr="004F0D45">
        <w:rPr>
          <w:color w:val="000000" w:themeColor="text1"/>
        </w:rPr>
        <w:t xml:space="preserve"> </w:t>
      </w:r>
      <w:r w:rsidR="00A66F00" w:rsidRPr="004F0D45">
        <w:rPr>
          <w:color w:val="000000" w:themeColor="text1"/>
        </w:rPr>
        <w:t>soon</w:t>
      </w:r>
      <w:r w:rsidR="00BA6283" w:rsidRPr="004F0D45">
        <w:rPr>
          <w:color w:val="000000" w:themeColor="text1"/>
        </w:rPr>
        <w:t xml:space="preserve"> us</w:t>
      </w:r>
      <w:r w:rsidR="00515D5F" w:rsidRPr="004F0D45">
        <w:rPr>
          <w:color w:val="000000" w:themeColor="text1"/>
        </w:rPr>
        <w:t>ing</w:t>
      </w:r>
      <w:r w:rsidR="00BA6283" w:rsidRPr="004F0D45">
        <w:rPr>
          <w:color w:val="000000" w:themeColor="text1"/>
        </w:rPr>
        <w:t xml:space="preserve"> up the maximum number of search spaces that can be configured.</w:t>
      </w:r>
    </w:p>
    <w:p w14:paraId="20B0F07B" w14:textId="766DCA4D" w:rsidR="00B26D0A" w:rsidRPr="004F0D45" w:rsidRDefault="005444E8" w:rsidP="005D664D">
      <w:pPr>
        <w:spacing w:after="120"/>
        <w:jc w:val="both"/>
        <w:textAlignment w:val="baseline"/>
        <w:rPr>
          <w:color w:val="000000" w:themeColor="text1"/>
        </w:rPr>
      </w:pPr>
      <w:r w:rsidRPr="004F0D45">
        <w:rPr>
          <w:color w:val="000000" w:themeColor="text1"/>
        </w:rPr>
        <w:t xml:space="preserve">Therefore, </w:t>
      </w:r>
      <w:r w:rsidR="00E21F16" w:rsidRPr="004F0D45">
        <w:rPr>
          <w:color w:val="000000" w:themeColor="text1"/>
        </w:rPr>
        <w:t>it seems necessary to bring enhancements to Search Space configuration which allow adaptation to SBFD partitioning</w:t>
      </w:r>
      <w:r w:rsidR="00ED7888" w:rsidRPr="004F0D45">
        <w:rPr>
          <w:color w:val="000000" w:themeColor="text1"/>
        </w:rPr>
        <w:t>:</w:t>
      </w:r>
      <w:r w:rsidR="000B7B49" w:rsidRPr="004F0D45">
        <w:rPr>
          <w:color w:val="000000" w:themeColor="text1"/>
        </w:rPr>
        <w:t xml:space="preserve"> </w:t>
      </w:r>
      <w:r w:rsidR="00ED7888" w:rsidRPr="004F0D45">
        <w:rPr>
          <w:color w:val="000000" w:themeColor="text1"/>
        </w:rPr>
        <w:t>for instance,</w:t>
      </w:r>
      <w:r w:rsidR="000B7B49" w:rsidRPr="004F0D45">
        <w:rPr>
          <w:color w:val="000000" w:themeColor="text1"/>
        </w:rPr>
        <w:t xml:space="preserve"> CORESETs or search spaces could be linked to SBFD subbands.</w:t>
      </w:r>
      <w:r w:rsidR="00ED7888" w:rsidRPr="004F0D45">
        <w:rPr>
          <w:color w:val="000000" w:themeColor="text1"/>
        </w:rPr>
        <w:t xml:space="preserve"> </w:t>
      </w:r>
    </w:p>
    <w:p w14:paraId="20C04DBF" w14:textId="345152C8" w:rsidR="00BE50AE" w:rsidRPr="004F0D45" w:rsidRDefault="00BE50AE" w:rsidP="005D664D">
      <w:pPr>
        <w:spacing w:after="120"/>
        <w:jc w:val="both"/>
        <w:rPr>
          <w:rFonts w:cstheme="minorHAnsi"/>
          <w:b/>
          <w:bCs/>
          <w:i/>
          <w:iCs/>
        </w:rPr>
      </w:pPr>
      <w:bookmarkStart w:id="36" w:name="_Ref111208268"/>
      <w:r w:rsidRPr="004F0D45">
        <w:rPr>
          <w:rFonts w:cstheme="minorHAnsi"/>
          <w:b/>
          <w:bCs/>
          <w:i/>
          <w:iCs/>
        </w:rPr>
        <w:t>Observation</w:t>
      </w:r>
      <w:r w:rsidR="00CA7488" w:rsidRPr="004F0D45">
        <w:rPr>
          <w:rFonts w:cstheme="minorHAnsi"/>
          <w:b/>
          <w:bCs/>
          <w:i/>
          <w:iCs/>
        </w:rPr>
        <w:t xml:space="preserve"> </w:t>
      </w:r>
      <w:r w:rsidR="00CA7488" w:rsidRPr="004F0D45">
        <w:rPr>
          <w:b/>
          <w:bCs/>
          <w:i/>
          <w:iCs/>
        </w:rPr>
        <w:fldChar w:fldCharType="begin"/>
      </w:r>
      <w:r w:rsidR="00CA7488" w:rsidRPr="004F0D45">
        <w:rPr>
          <w:b/>
          <w:bCs/>
          <w:i/>
          <w:iCs/>
        </w:rPr>
        <w:instrText xml:space="preserve"> SEQ Observation \* ARABIC </w:instrText>
      </w:r>
      <w:r w:rsidR="00CA7488" w:rsidRPr="004F0D45">
        <w:rPr>
          <w:b/>
          <w:bCs/>
          <w:i/>
          <w:iCs/>
        </w:rPr>
        <w:fldChar w:fldCharType="separate"/>
      </w:r>
      <w:r w:rsidR="00F230AB" w:rsidRPr="004F0D45">
        <w:rPr>
          <w:b/>
          <w:bCs/>
          <w:i/>
          <w:iCs/>
          <w:noProof/>
        </w:rPr>
        <w:t>4</w:t>
      </w:r>
      <w:r w:rsidR="00CA7488" w:rsidRPr="004F0D45">
        <w:rPr>
          <w:b/>
          <w:bCs/>
          <w:i/>
          <w:iCs/>
        </w:rPr>
        <w:fldChar w:fldCharType="end"/>
      </w:r>
      <w:r w:rsidRPr="004F0D45">
        <w:rPr>
          <w:rFonts w:cstheme="minorHAnsi"/>
          <w:b/>
          <w:bCs/>
          <w:i/>
          <w:iCs/>
        </w:rPr>
        <w:t xml:space="preserve">: </w:t>
      </w:r>
      <w:bookmarkStart w:id="37" w:name="_Ref118365536"/>
      <w:r w:rsidRPr="004F0D45">
        <w:rPr>
          <w:rFonts w:cstheme="minorHAnsi"/>
          <w:b/>
          <w:bCs/>
          <w:i/>
          <w:iCs/>
        </w:rPr>
        <w:t>CORESET allocation readily supports non-contiguous frequency-domain allocation and monitoring up to three different CORESETs in a BWP.</w:t>
      </w:r>
      <w:bookmarkEnd w:id="36"/>
      <w:bookmarkEnd w:id="37"/>
      <w:r w:rsidRPr="004F0D45">
        <w:rPr>
          <w:rFonts w:cstheme="minorHAnsi"/>
          <w:b/>
          <w:bCs/>
          <w:i/>
          <w:iCs/>
        </w:rPr>
        <w:t xml:space="preserve"> </w:t>
      </w:r>
    </w:p>
    <w:p w14:paraId="0C736E7C" w14:textId="504EE8B4" w:rsidR="00BE50AE" w:rsidRPr="004F0D45" w:rsidRDefault="00BE50AE" w:rsidP="005D664D">
      <w:pPr>
        <w:spacing w:after="120"/>
        <w:jc w:val="both"/>
        <w:rPr>
          <w:rFonts w:cstheme="minorHAnsi"/>
          <w:b/>
          <w:bCs/>
          <w:i/>
          <w:iCs/>
        </w:rPr>
      </w:pPr>
      <w:bookmarkStart w:id="38" w:name="_Ref111210477"/>
      <w:r w:rsidRPr="004F0D45">
        <w:rPr>
          <w:rFonts w:cstheme="minorHAnsi"/>
          <w:b/>
          <w:bCs/>
          <w:i/>
          <w:iCs/>
        </w:rPr>
        <w:t>Observation</w:t>
      </w:r>
      <w:r w:rsidR="00CA7488" w:rsidRPr="004F0D45">
        <w:rPr>
          <w:rFonts w:cstheme="minorHAnsi"/>
          <w:b/>
          <w:bCs/>
          <w:i/>
          <w:iCs/>
        </w:rPr>
        <w:t xml:space="preserve"> </w:t>
      </w:r>
      <w:r w:rsidR="00CA7488" w:rsidRPr="004F0D45">
        <w:rPr>
          <w:b/>
          <w:bCs/>
          <w:i/>
          <w:iCs/>
        </w:rPr>
        <w:fldChar w:fldCharType="begin"/>
      </w:r>
      <w:r w:rsidR="00CA7488" w:rsidRPr="004F0D45">
        <w:rPr>
          <w:b/>
          <w:bCs/>
          <w:i/>
          <w:iCs/>
        </w:rPr>
        <w:instrText xml:space="preserve"> SEQ Observation \* ARABIC </w:instrText>
      </w:r>
      <w:r w:rsidR="00CA7488" w:rsidRPr="004F0D45">
        <w:rPr>
          <w:b/>
          <w:bCs/>
          <w:i/>
          <w:iCs/>
        </w:rPr>
        <w:fldChar w:fldCharType="separate"/>
      </w:r>
      <w:r w:rsidR="00F230AB" w:rsidRPr="004F0D45">
        <w:rPr>
          <w:b/>
          <w:bCs/>
          <w:i/>
          <w:iCs/>
          <w:noProof/>
        </w:rPr>
        <w:t>5</w:t>
      </w:r>
      <w:r w:rsidR="00CA7488" w:rsidRPr="004F0D45">
        <w:rPr>
          <w:b/>
          <w:bCs/>
          <w:i/>
          <w:iCs/>
        </w:rPr>
        <w:fldChar w:fldCharType="end"/>
      </w:r>
      <w:r w:rsidRPr="004F0D45">
        <w:rPr>
          <w:rFonts w:cstheme="minorHAnsi"/>
          <w:b/>
          <w:bCs/>
          <w:i/>
          <w:iCs/>
        </w:rPr>
        <w:t xml:space="preserve">: </w:t>
      </w:r>
      <w:bookmarkStart w:id="39" w:name="_Ref118365552"/>
      <w:r w:rsidR="004F2576" w:rsidRPr="004F0D45">
        <w:rPr>
          <w:rFonts w:cstheme="minorHAnsi"/>
          <w:b/>
          <w:bCs/>
          <w:i/>
          <w:iCs/>
        </w:rPr>
        <w:t xml:space="preserve">Configuring PDCCH monitoring over different CORESETs for SBFD and </w:t>
      </w:r>
      <w:r w:rsidR="008575D4" w:rsidRPr="004F0D45">
        <w:rPr>
          <w:rFonts w:cstheme="minorHAnsi"/>
          <w:b/>
          <w:bCs/>
          <w:i/>
          <w:iCs/>
        </w:rPr>
        <w:t>non-SBFD</w:t>
      </w:r>
      <w:r w:rsidR="004F2576" w:rsidRPr="004F0D45">
        <w:rPr>
          <w:rFonts w:cstheme="minorHAnsi"/>
          <w:b/>
          <w:bCs/>
          <w:i/>
          <w:iCs/>
        </w:rPr>
        <w:t xml:space="preserve"> slots/symbols may require configuring separate search spaces per each slot in the periodic SBFD partition pattern, each with the same slot periodicity but different slot offsets, soon using up the maximum number of search spaces that can be configured</w:t>
      </w:r>
      <w:r w:rsidRPr="004F0D45">
        <w:rPr>
          <w:rFonts w:cstheme="minorHAnsi"/>
          <w:b/>
          <w:bCs/>
          <w:i/>
          <w:iCs/>
        </w:rPr>
        <w:t>.</w:t>
      </w:r>
      <w:bookmarkEnd w:id="38"/>
      <w:bookmarkEnd w:id="39"/>
      <w:r w:rsidRPr="004F0D45">
        <w:rPr>
          <w:rFonts w:cstheme="minorHAnsi"/>
          <w:b/>
          <w:bCs/>
          <w:i/>
          <w:iCs/>
        </w:rPr>
        <w:t xml:space="preserve"> </w:t>
      </w:r>
    </w:p>
    <w:p w14:paraId="5A111B4B" w14:textId="136647EE" w:rsidR="00CE61AE" w:rsidRPr="004F0D45" w:rsidRDefault="00BE50AE" w:rsidP="005D664D">
      <w:pPr>
        <w:spacing w:after="120"/>
        <w:jc w:val="both"/>
        <w:rPr>
          <w:b/>
          <w:bCs/>
          <w:i/>
          <w:iCs/>
        </w:rPr>
      </w:pPr>
      <w:bookmarkStart w:id="40" w:name="_Ref111210881"/>
      <w:r w:rsidRPr="004F0D45">
        <w:rPr>
          <w:rFonts w:cstheme="minorHAnsi"/>
          <w:b/>
          <w:bCs/>
          <w:i/>
          <w:iCs/>
        </w:rPr>
        <w:t>Proposal</w:t>
      </w:r>
      <w:r w:rsidR="00CA7488" w:rsidRPr="004F0D45">
        <w:rPr>
          <w:rFonts w:cstheme="minorHAnsi"/>
          <w:b/>
          <w:bCs/>
          <w:i/>
          <w:iCs/>
        </w:rPr>
        <w:t xml:space="preserve"> </w:t>
      </w:r>
      <w:r w:rsidR="00CA7488" w:rsidRPr="004F0D45">
        <w:rPr>
          <w:b/>
          <w:bCs/>
          <w:i/>
          <w:iCs/>
        </w:rPr>
        <w:fldChar w:fldCharType="begin"/>
      </w:r>
      <w:r w:rsidR="00CA7488" w:rsidRPr="004F0D45">
        <w:rPr>
          <w:b/>
          <w:bCs/>
          <w:i/>
          <w:iCs/>
        </w:rPr>
        <w:instrText xml:space="preserve"> SEQ Proposal \* ARABIC </w:instrText>
      </w:r>
      <w:r w:rsidR="00CA7488" w:rsidRPr="004F0D45">
        <w:rPr>
          <w:b/>
          <w:bCs/>
          <w:i/>
          <w:iCs/>
        </w:rPr>
        <w:fldChar w:fldCharType="separate"/>
      </w:r>
      <w:r w:rsidR="00F230AB" w:rsidRPr="004F0D45">
        <w:rPr>
          <w:b/>
          <w:bCs/>
          <w:i/>
          <w:iCs/>
          <w:noProof/>
        </w:rPr>
        <w:t>14</w:t>
      </w:r>
      <w:r w:rsidR="00CA7488" w:rsidRPr="004F0D45">
        <w:rPr>
          <w:b/>
          <w:bCs/>
          <w:i/>
          <w:iCs/>
        </w:rPr>
        <w:fldChar w:fldCharType="end"/>
      </w:r>
      <w:r w:rsidRPr="004F0D45">
        <w:rPr>
          <w:rFonts w:cstheme="minorHAnsi"/>
          <w:b/>
          <w:bCs/>
          <w:i/>
          <w:iCs/>
        </w:rPr>
        <w:t xml:space="preserve">: </w:t>
      </w:r>
      <w:bookmarkStart w:id="41" w:name="_Ref118363596"/>
      <w:r w:rsidR="003806CA" w:rsidRPr="004F0D45">
        <w:rPr>
          <w:rFonts w:cstheme="minorHAnsi"/>
          <w:b/>
          <w:bCs/>
          <w:i/>
          <w:iCs/>
        </w:rPr>
        <w:t xml:space="preserve">Study </w:t>
      </w:r>
      <w:r w:rsidR="004F2576" w:rsidRPr="004F0D45">
        <w:rPr>
          <w:rFonts w:cstheme="minorHAnsi"/>
          <w:b/>
          <w:bCs/>
          <w:i/>
          <w:iCs/>
        </w:rPr>
        <w:t>enhancements</w:t>
      </w:r>
      <w:r w:rsidR="003806CA" w:rsidRPr="004F0D45">
        <w:rPr>
          <w:rFonts w:cstheme="minorHAnsi"/>
          <w:b/>
          <w:bCs/>
          <w:i/>
          <w:iCs/>
        </w:rPr>
        <w:t xml:space="preserve"> </w:t>
      </w:r>
      <w:r w:rsidR="004F2576" w:rsidRPr="004F0D45">
        <w:rPr>
          <w:rFonts w:cstheme="minorHAnsi"/>
          <w:b/>
          <w:bCs/>
          <w:i/>
          <w:iCs/>
        </w:rPr>
        <w:t>to</w:t>
      </w:r>
      <w:r w:rsidR="00C05A3E" w:rsidRPr="004F0D45">
        <w:rPr>
          <w:rFonts w:cstheme="minorHAnsi"/>
          <w:b/>
          <w:bCs/>
          <w:i/>
          <w:iCs/>
        </w:rPr>
        <w:t xml:space="preserve"> </w:t>
      </w:r>
      <w:r w:rsidRPr="004F0D45">
        <w:rPr>
          <w:rFonts w:cstheme="minorHAnsi"/>
          <w:b/>
          <w:bCs/>
          <w:i/>
          <w:iCs/>
        </w:rPr>
        <w:t xml:space="preserve">Search </w:t>
      </w:r>
      <w:r w:rsidR="004F2576" w:rsidRPr="004F0D45">
        <w:rPr>
          <w:rFonts w:cstheme="minorHAnsi"/>
          <w:b/>
          <w:bCs/>
          <w:i/>
          <w:iCs/>
        </w:rPr>
        <w:t>S</w:t>
      </w:r>
      <w:r w:rsidRPr="004F0D45">
        <w:rPr>
          <w:rFonts w:cstheme="minorHAnsi"/>
          <w:b/>
          <w:bCs/>
          <w:i/>
          <w:iCs/>
        </w:rPr>
        <w:t>pace</w:t>
      </w:r>
      <w:r w:rsidR="004F2576" w:rsidRPr="004F0D45">
        <w:rPr>
          <w:rFonts w:cstheme="minorHAnsi"/>
          <w:b/>
          <w:bCs/>
          <w:i/>
          <w:iCs/>
        </w:rPr>
        <w:t xml:space="preserve"> configuration</w:t>
      </w:r>
      <w:r w:rsidRPr="004F0D45">
        <w:rPr>
          <w:rFonts w:cstheme="minorHAnsi"/>
          <w:b/>
          <w:bCs/>
          <w:i/>
          <w:iCs/>
        </w:rPr>
        <w:t xml:space="preserve"> </w:t>
      </w:r>
      <w:r w:rsidR="00E21F16" w:rsidRPr="004F0D45">
        <w:rPr>
          <w:rFonts w:cstheme="minorHAnsi"/>
          <w:b/>
          <w:bCs/>
          <w:i/>
          <w:iCs/>
        </w:rPr>
        <w:t>which</w:t>
      </w:r>
      <w:r w:rsidR="004F2576" w:rsidRPr="004F0D45">
        <w:rPr>
          <w:rFonts w:cstheme="minorHAnsi"/>
          <w:b/>
          <w:bCs/>
          <w:i/>
          <w:iCs/>
        </w:rPr>
        <w:t xml:space="preserve"> allow adaptation</w:t>
      </w:r>
      <w:r w:rsidRPr="004F0D45">
        <w:rPr>
          <w:rFonts w:cstheme="minorHAnsi"/>
          <w:b/>
          <w:bCs/>
          <w:i/>
          <w:iCs/>
        </w:rPr>
        <w:t xml:space="preserve"> </w:t>
      </w:r>
      <w:r w:rsidR="004F2576" w:rsidRPr="004F0D45">
        <w:rPr>
          <w:rFonts w:cstheme="minorHAnsi"/>
          <w:b/>
          <w:bCs/>
          <w:i/>
          <w:iCs/>
        </w:rPr>
        <w:t>to</w:t>
      </w:r>
      <w:r w:rsidRPr="004F0D45">
        <w:rPr>
          <w:rFonts w:cstheme="minorHAnsi"/>
          <w:b/>
          <w:bCs/>
          <w:i/>
          <w:iCs/>
        </w:rPr>
        <w:t xml:space="preserve"> SBFD partitioning.</w:t>
      </w:r>
      <w:bookmarkEnd w:id="40"/>
      <w:bookmarkEnd w:id="41"/>
    </w:p>
    <w:p w14:paraId="2A1136A2" w14:textId="3A9595B9" w:rsidR="00A7051B" w:rsidRPr="004F0D45" w:rsidRDefault="00BE50AE" w:rsidP="005D664D">
      <w:pPr>
        <w:pStyle w:val="Heading3"/>
        <w:jc w:val="both"/>
      </w:pPr>
      <w:r w:rsidRPr="004F0D45">
        <w:t>PDSCH allocation in SBFD symbols</w:t>
      </w:r>
    </w:p>
    <w:p w14:paraId="4A2CD9A2" w14:textId="677DE90E" w:rsidR="00C63C95" w:rsidRPr="004F0D45" w:rsidRDefault="00B70106" w:rsidP="005D664D">
      <w:pPr>
        <w:shd w:val="clear" w:color="auto" w:fill="FFFFFF"/>
        <w:spacing w:after="120"/>
        <w:jc w:val="both"/>
        <w:rPr>
          <w:color w:val="000000" w:themeColor="text1"/>
        </w:rPr>
      </w:pPr>
      <w:r w:rsidRPr="004F0D45">
        <w:rPr>
          <w:color w:val="000000" w:themeColor="text1"/>
        </w:rPr>
        <w:t>Frequency-domain PDSCH allocation is dynamically indicated through DCI</w:t>
      </w:r>
      <w:r w:rsidR="00BC6E00" w:rsidRPr="004F0D45">
        <w:rPr>
          <w:color w:val="000000" w:themeColor="text1"/>
        </w:rPr>
        <w:t>,</w:t>
      </w:r>
      <w:r w:rsidRPr="004F0D45">
        <w:rPr>
          <w:color w:val="000000" w:themeColor="text1"/>
        </w:rPr>
        <w:t xml:space="preserve"> </w:t>
      </w:r>
      <w:r w:rsidR="002E191D" w:rsidRPr="004F0D45">
        <w:rPr>
          <w:color w:val="000000" w:themeColor="text1"/>
        </w:rPr>
        <w:t>using</w:t>
      </w:r>
      <w:r w:rsidR="00BC6E00" w:rsidRPr="004F0D45">
        <w:rPr>
          <w:color w:val="000000" w:themeColor="text1"/>
        </w:rPr>
        <w:t xml:space="preserve"> either</w:t>
      </w:r>
      <w:r w:rsidR="002E191D" w:rsidRPr="004F0D45">
        <w:rPr>
          <w:color w:val="000000" w:themeColor="text1"/>
        </w:rPr>
        <w:t xml:space="preserve"> </w:t>
      </w:r>
      <w:r w:rsidRPr="004F0D45">
        <w:rPr>
          <w:color w:val="000000" w:themeColor="text1"/>
        </w:rPr>
        <w:t>Type-0 or Type-1 format.</w:t>
      </w:r>
      <w:r w:rsidR="00EF5DF8" w:rsidRPr="004F0D45">
        <w:rPr>
          <w:color w:val="000000" w:themeColor="text1"/>
        </w:rPr>
        <w:t xml:space="preserve"> </w:t>
      </w:r>
      <w:r w:rsidR="00E50942" w:rsidRPr="004F0D45">
        <w:rPr>
          <w:color w:val="000000" w:themeColor="text1"/>
        </w:rPr>
        <w:t>Type-0 FDRA</w:t>
      </w:r>
      <w:r w:rsidR="00EF5DF8" w:rsidRPr="004F0D45">
        <w:rPr>
          <w:color w:val="000000" w:themeColor="text1"/>
        </w:rPr>
        <w:t xml:space="preserve"> </w:t>
      </w:r>
      <w:r w:rsidR="00E50942" w:rsidRPr="004F0D45">
        <w:rPr>
          <w:color w:val="000000" w:themeColor="text1"/>
        </w:rPr>
        <w:t>is</w:t>
      </w:r>
      <w:r w:rsidR="00A96097" w:rsidRPr="004F0D45">
        <w:rPr>
          <w:color w:val="000000" w:themeColor="text1"/>
        </w:rPr>
        <w:t xml:space="preserve"> based on a bitmap where each bit represents an RB group with RB size depending on BWP-size and a binary configuration option </w:t>
      </w:r>
      <w:r w:rsidR="009134DE" w:rsidRPr="004F0D45">
        <w:rPr>
          <w:color w:val="000000" w:themeColor="text1"/>
        </w:rPr>
        <w:t>that allows</w:t>
      </w:r>
      <w:r w:rsidR="00A96097" w:rsidRPr="004F0D45">
        <w:rPr>
          <w:color w:val="000000" w:themeColor="text1"/>
        </w:rPr>
        <w:t xml:space="preserve"> </w:t>
      </w:r>
      <w:r w:rsidR="00930D91" w:rsidRPr="004F0D45">
        <w:rPr>
          <w:color w:val="000000" w:themeColor="text1"/>
        </w:rPr>
        <w:t>halving the bitmap size (max. 18 vs. max 9 bits</w:t>
      </w:r>
      <w:r w:rsidR="001A17FF" w:rsidRPr="004F0D45">
        <w:rPr>
          <w:color w:val="000000" w:themeColor="text1"/>
        </w:rPr>
        <w:t xml:space="preserve">, </w:t>
      </w:r>
      <w:proofErr w:type="gramStart"/>
      <w:r w:rsidR="001A17FF" w:rsidRPr="004F0D45">
        <w:rPr>
          <w:color w:val="000000" w:themeColor="text1"/>
        </w:rPr>
        <w:t>i.e.</w:t>
      </w:r>
      <w:proofErr w:type="gramEnd"/>
      <w:r w:rsidR="001A17FF" w:rsidRPr="004F0D45">
        <w:rPr>
          <w:color w:val="000000" w:themeColor="text1"/>
        </w:rPr>
        <w:t xml:space="preserve"> RBGs</w:t>
      </w:r>
      <w:r w:rsidR="00930D91" w:rsidRPr="004F0D45">
        <w:rPr>
          <w:color w:val="000000" w:themeColor="text1"/>
        </w:rPr>
        <w:t>) at the expense of doubling the RBG size (a power of two between 2 and 16 RBs)</w:t>
      </w:r>
      <w:r w:rsidR="00BC6E00" w:rsidRPr="004F0D45">
        <w:rPr>
          <w:color w:val="000000" w:themeColor="text1"/>
        </w:rPr>
        <w:t>.</w:t>
      </w:r>
      <w:r w:rsidR="001A17FF" w:rsidRPr="004F0D45">
        <w:rPr>
          <w:color w:val="000000" w:themeColor="text1"/>
        </w:rPr>
        <w:t xml:space="preserve"> </w:t>
      </w:r>
      <w:r w:rsidR="00D13281" w:rsidRPr="004F0D45">
        <w:rPr>
          <w:color w:val="000000" w:themeColor="text1"/>
        </w:rPr>
        <w:t xml:space="preserve">Thus, </w:t>
      </w:r>
      <w:r w:rsidR="001A17FF" w:rsidRPr="004F0D45">
        <w:rPr>
          <w:color w:val="000000" w:themeColor="text1"/>
        </w:rPr>
        <w:t xml:space="preserve">FDRA Type-0 readily </w:t>
      </w:r>
      <w:r w:rsidR="000D1901" w:rsidRPr="004F0D45">
        <w:rPr>
          <w:color w:val="000000" w:themeColor="text1"/>
        </w:rPr>
        <w:t xml:space="preserve">allows for </w:t>
      </w:r>
      <w:r w:rsidR="00D13281" w:rsidRPr="004F0D45">
        <w:rPr>
          <w:color w:val="000000" w:themeColor="text1"/>
        </w:rPr>
        <w:t xml:space="preserve">rather flexible, </w:t>
      </w:r>
      <w:r w:rsidR="000D1901" w:rsidRPr="004F0D45">
        <w:rPr>
          <w:color w:val="000000" w:themeColor="text1"/>
        </w:rPr>
        <w:t xml:space="preserve">non-contiguous </w:t>
      </w:r>
      <w:r w:rsidR="00BC0EA3" w:rsidRPr="004F0D45">
        <w:rPr>
          <w:color w:val="000000" w:themeColor="text1"/>
        </w:rPr>
        <w:t xml:space="preserve">RB </w:t>
      </w:r>
      <w:r w:rsidR="000D1901" w:rsidRPr="004F0D45">
        <w:rPr>
          <w:color w:val="000000" w:themeColor="text1"/>
        </w:rPr>
        <w:t>allocations, which may be required in SBFD operation to allocate RBs from multiple, non-contiguous DL subbands.</w:t>
      </w:r>
    </w:p>
    <w:p w14:paraId="2F22B27C" w14:textId="6E16F942" w:rsidR="006A0A36" w:rsidRPr="004F0D45" w:rsidRDefault="00D54637" w:rsidP="005D664D">
      <w:pPr>
        <w:shd w:val="clear" w:color="auto" w:fill="FFFFFF"/>
        <w:spacing w:after="120"/>
        <w:jc w:val="both"/>
        <w:rPr>
          <w:color w:val="000000" w:themeColor="text1"/>
        </w:rPr>
      </w:pPr>
      <w:r w:rsidRPr="004F0D45">
        <w:rPr>
          <w:color w:val="000000" w:themeColor="text1"/>
        </w:rPr>
        <w:t xml:space="preserve">However, some resource fragmentation may occur </w:t>
      </w:r>
      <w:r w:rsidR="00E77357" w:rsidRPr="004F0D45">
        <w:rPr>
          <w:color w:val="000000" w:themeColor="text1"/>
        </w:rPr>
        <w:t>at the edge(s) of DL subband(s) near the UL-subband(s)</w:t>
      </w:r>
      <w:r w:rsidR="00AD432E" w:rsidRPr="004F0D45">
        <w:rPr>
          <w:color w:val="000000" w:themeColor="text1"/>
        </w:rPr>
        <w:t xml:space="preserve"> with FDRA Type-0</w:t>
      </w:r>
      <w:r w:rsidR="00E77357" w:rsidRPr="004F0D45">
        <w:rPr>
          <w:color w:val="000000" w:themeColor="text1"/>
        </w:rPr>
        <w:t>.</w:t>
      </w:r>
      <w:r w:rsidR="001A1061" w:rsidRPr="004F0D45">
        <w:rPr>
          <w:color w:val="000000" w:themeColor="text1"/>
        </w:rPr>
        <w:t xml:space="preserve"> </w:t>
      </w:r>
      <w:r w:rsidR="00664234" w:rsidRPr="004F0D45">
        <w:rPr>
          <w:color w:val="000000" w:themeColor="text1"/>
        </w:rPr>
        <w:t xml:space="preserve">Based on </w:t>
      </w:r>
      <w:r w:rsidR="009134DE" w:rsidRPr="004F0D45">
        <w:rPr>
          <w:color w:val="000000" w:themeColor="text1"/>
        </w:rPr>
        <w:t xml:space="preserve">the </w:t>
      </w:r>
      <w:r w:rsidR="00664234" w:rsidRPr="004F0D45">
        <w:rPr>
          <w:color w:val="000000" w:themeColor="text1"/>
        </w:rPr>
        <w:t xml:space="preserve">knowledge of </w:t>
      </w:r>
      <w:r w:rsidR="00A707A5" w:rsidRPr="004F0D45">
        <w:rPr>
          <w:color w:val="000000" w:themeColor="text1"/>
        </w:rPr>
        <w:t xml:space="preserve">partitioned symbols and the </w:t>
      </w:r>
      <w:r w:rsidR="00664234" w:rsidRPr="004F0D45">
        <w:rPr>
          <w:color w:val="000000" w:themeColor="text1"/>
        </w:rPr>
        <w:t>boundary between DL and UL subbands, the UE should support Type-0 FDRA comprising</w:t>
      </w:r>
      <w:r w:rsidR="001A1061" w:rsidRPr="004F0D45">
        <w:rPr>
          <w:color w:val="000000" w:themeColor="text1"/>
        </w:rPr>
        <w:t xml:space="preserve"> </w:t>
      </w:r>
      <w:r w:rsidR="00BC6E00" w:rsidRPr="004F0D45">
        <w:rPr>
          <w:color w:val="000000" w:themeColor="text1"/>
        </w:rPr>
        <w:t xml:space="preserve">fractional RBGs </w:t>
      </w:r>
      <w:r w:rsidR="00664234" w:rsidRPr="004F0D45">
        <w:rPr>
          <w:color w:val="000000" w:themeColor="text1"/>
        </w:rPr>
        <w:t>at such boundar</w:t>
      </w:r>
      <w:r w:rsidR="009134DE" w:rsidRPr="004F0D45">
        <w:rPr>
          <w:color w:val="000000" w:themeColor="text1"/>
        </w:rPr>
        <w:t>ies</w:t>
      </w:r>
      <w:r w:rsidR="00AD432E" w:rsidRPr="004F0D45">
        <w:rPr>
          <w:color w:val="000000" w:themeColor="text1"/>
        </w:rPr>
        <w:t xml:space="preserve">, </w:t>
      </w:r>
      <w:r w:rsidR="005C714E" w:rsidRPr="004F0D45">
        <w:rPr>
          <w:color w:val="000000" w:themeColor="text1"/>
        </w:rPr>
        <w:t xml:space="preserve">in much the same way </w:t>
      </w:r>
      <w:r w:rsidR="00AD432E" w:rsidRPr="004F0D45">
        <w:rPr>
          <w:color w:val="000000" w:themeColor="text1"/>
        </w:rPr>
        <w:t xml:space="preserve">as </w:t>
      </w:r>
      <w:r w:rsidR="005C714E" w:rsidRPr="004F0D45">
        <w:rPr>
          <w:color w:val="000000" w:themeColor="text1"/>
        </w:rPr>
        <w:t>in</w:t>
      </w:r>
      <w:r w:rsidR="00AD432E" w:rsidRPr="004F0D45">
        <w:rPr>
          <w:color w:val="000000" w:themeColor="text1"/>
        </w:rPr>
        <w:t xml:space="preserve"> the case </w:t>
      </w:r>
      <w:r w:rsidR="005C714E" w:rsidRPr="004F0D45">
        <w:rPr>
          <w:color w:val="000000" w:themeColor="text1"/>
        </w:rPr>
        <w:t>of fraction</w:t>
      </w:r>
      <w:r w:rsidR="009134DE" w:rsidRPr="004F0D45">
        <w:rPr>
          <w:color w:val="000000" w:themeColor="text1"/>
        </w:rPr>
        <w:t>al</w:t>
      </w:r>
      <w:r w:rsidR="005C714E" w:rsidRPr="004F0D45">
        <w:rPr>
          <w:color w:val="000000" w:themeColor="text1"/>
        </w:rPr>
        <w:t xml:space="preserve"> RBGs at</w:t>
      </w:r>
      <w:r w:rsidR="00AD432E" w:rsidRPr="004F0D45">
        <w:rPr>
          <w:color w:val="000000" w:themeColor="text1"/>
        </w:rPr>
        <w:t xml:space="preserve"> BWP edges</w:t>
      </w:r>
      <w:r w:rsidR="005C714E" w:rsidRPr="004F0D45">
        <w:rPr>
          <w:color w:val="000000" w:themeColor="text1"/>
        </w:rPr>
        <w:t xml:space="preserve"> according to the current standard</w:t>
      </w:r>
      <w:r w:rsidR="00664234" w:rsidRPr="004F0D45">
        <w:rPr>
          <w:color w:val="000000" w:themeColor="text1"/>
        </w:rPr>
        <w:t>, as illustrated in</w:t>
      </w:r>
      <w:r w:rsidR="001A1061" w:rsidRPr="004F0D45">
        <w:rPr>
          <w:color w:val="000000" w:themeColor="text1"/>
        </w:rPr>
        <w:t xml:space="preserve"> </w:t>
      </w:r>
      <w:r w:rsidR="00D361D6" w:rsidRPr="004F0D45">
        <w:rPr>
          <w:color w:val="000000" w:themeColor="text1"/>
        </w:rPr>
        <w:fldChar w:fldCharType="begin"/>
      </w:r>
      <w:r w:rsidR="00D361D6" w:rsidRPr="004F0D45">
        <w:rPr>
          <w:color w:val="000000" w:themeColor="text1"/>
        </w:rPr>
        <w:instrText xml:space="preserve"> REF _Ref110502974 \h  \* MERGEFORMAT </w:instrText>
      </w:r>
      <w:r w:rsidR="00D361D6" w:rsidRPr="004F0D45">
        <w:rPr>
          <w:color w:val="000000" w:themeColor="text1"/>
        </w:rPr>
      </w:r>
      <w:r w:rsidR="00D361D6" w:rsidRPr="004F0D45">
        <w:rPr>
          <w:color w:val="000000" w:themeColor="text1"/>
        </w:rPr>
        <w:fldChar w:fldCharType="separate"/>
      </w:r>
      <w:r w:rsidR="00F230AB" w:rsidRPr="004F0D45">
        <w:t xml:space="preserve">Figure </w:t>
      </w:r>
      <w:r w:rsidR="00F230AB" w:rsidRPr="004F0D45">
        <w:rPr>
          <w:noProof/>
        </w:rPr>
        <w:t>5</w:t>
      </w:r>
      <w:r w:rsidR="00D361D6" w:rsidRPr="004F0D45">
        <w:rPr>
          <w:color w:val="000000" w:themeColor="text1"/>
        </w:rPr>
        <w:fldChar w:fldCharType="end"/>
      </w:r>
      <w:r w:rsidR="00D361D6" w:rsidRPr="004F0D45">
        <w:rPr>
          <w:color w:val="000000" w:themeColor="text1"/>
        </w:rPr>
        <w:t>.</w:t>
      </w:r>
    </w:p>
    <w:p w14:paraId="4E226E21" w14:textId="1E5DD670" w:rsidR="00872959" w:rsidRPr="004F0D45" w:rsidRDefault="00872959" w:rsidP="00C26688">
      <w:pPr>
        <w:shd w:val="clear" w:color="auto" w:fill="FFFFFF"/>
        <w:spacing w:after="0"/>
        <w:jc w:val="center"/>
      </w:pPr>
      <w:r w:rsidRPr="004F0D45">
        <w:rPr>
          <w:noProof/>
        </w:rPr>
        <w:drawing>
          <wp:inline distT="0" distB="0" distL="0" distR="0" wp14:anchorId="27CBBD1B" wp14:editId="075A1B44">
            <wp:extent cx="2990850" cy="2736422"/>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t="1110"/>
                    <a:stretch/>
                  </pic:blipFill>
                  <pic:spPr bwMode="auto">
                    <a:xfrm>
                      <a:off x="0" y="0"/>
                      <a:ext cx="3008501" cy="2752571"/>
                    </a:xfrm>
                    <a:prstGeom prst="rect">
                      <a:avLst/>
                    </a:prstGeom>
                    <a:noFill/>
                    <a:ln>
                      <a:noFill/>
                    </a:ln>
                    <a:extLst>
                      <a:ext uri="{53640926-AAD7-44D8-BBD7-CCE9431645EC}">
                        <a14:shadowObscured xmlns:a14="http://schemas.microsoft.com/office/drawing/2010/main"/>
                      </a:ext>
                    </a:extLst>
                  </pic:spPr>
                </pic:pic>
              </a:graphicData>
            </a:graphic>
          </wp:inline>
        </w:drawing>
      </w:r>
    </w:p>
    <w:p w14:paraId="19E7C01B" w14:textId="362FBB4C" w:rsidR="00872959" w:rsidRPr="004F0D45" w:rsidRDefault="00872959" w:rsidP="00C26688">
      <w:pPr>
        <w:jc w:val="center"/>
      </w:pPr>
      <w:bookmarkStart w:id="42" w:name="_Ref110502974"/>
      <w:r w:rsidRPr="004F0D45">
        <w:t xml:space="preserve">Figure </w:t>
      </w:r>
      <w:r w:rsidRPr="004F0D45">
        <w:fldChar w:fldCharType="begin"/>
      </w:r>
      <w:r w:rsidRPr="004F0D45">
        <w:instrText xml:space="preserve"> SEQ Figure \* ARABIC </w:instrText>
      </w:r>
      <w:r w:rsidRPr="004F0D45">
        <w:fldChar w:fldCharType="separate"/>
      </w:r>
      <w:r w:rsidR="00F230AB" w:rsidRPr="004F0D45">
        <w:rPr>
          <w:noProof/>
        </w:rPr>
        <w:t>5</w:t>
      </w:r>
      <w:r w:rsidRPr="004F0D45">
        <w:rPr>
          <w:noProof/>
        </w:rPr>
        <w:fldChar w:fldCharType="end"/>
      </w:r>
      <w:bookmarkEnd w:id="42"/>
      <w:r w:rsidRPr="004F0D45">
        <w:t>: PDSCH FDRA Type-0 with fractional RBG allocation at DL subbing edges.</w:t>
      </w:r>
    </w:p>
    <w:p w14:paraId="3292FA3A" w14:textId="77777777" w:rsidR="005B2DD3" w:rsidRPr="004F0D45" w:rsidRDefault="005C714E" w:rsidP="005D664D">
      <w:pPr>
        <w:shd w:val="clear" w:color="auto" w:fill="FFFFFF"/>
        <w:spacing w:after="120"/>
        <w:jc w:val="both"/>
        <w:rPr>
          <w:color w:val="000000" w:themeColor="text1"/>
        </w:rPr>
      </w:pPr>
      <w:r w:rsidRPr="004F0D45">
        <w:rPr>
          <w:color w:val="000000" w:themeColor="text1"/>
        </w:rPr>
        <w:t xml:space="preserve">Meanwhile, </w:t>
      </w:r>
      <w:r w:rsidR="006A0A36" w:rsidRPr="004F0D45">
        <w:rPr>
          <w:color w:val="000000" w:themeColor="text1"/>
        </w:rPr>
        <w:t xml:space="preserve">Type-1 FDRA </w:t>
      </w:r>
      <w:r w:rsidRPr="004F0D45">
        <w:rPr>
          <w:color w:val="000000" w:themeColor="text1"/>
        </w:rPr>
        <w:t xml:space="preserve">is </w:t>
      </w:r>
      <w:r w:rsidR="006A0A36" w:rsidRPr="004F0D45">
        <w:rPr>
          <w:color w:val="000000" w:themeColor="text1"/>
        </w:rPr>
        <w:t>based on starting RB and RB length</w:t>
      </w:r>
      <w:r w:rsidRPr="004F0D45">
        <w:rPr>
          <w:color w:val="000000" w:themeColor="text1"/>
        </w:rPr>
        <w:t>, hence</w:t>
      </w:r>
      <w:r w:rsidR="006A0A36" w:rsidRPr="004F0D45">
        <w:rPr>
          <w:color w:val="000000" w:themeColor="text1"/>
        </w:rPr>
        <w:t xml:space="preserve"> supports RB granularity allocations but only o</w:t>
      </w:r>
      <w:r w:rsidR="0033778D" w:rsidRPr="004F0D45">
        <w:rPr>
          <w:color w:val="000000" w:themeColor="text1"/>
        </w:rPr>
        <w:t>ver</w:t>
      </w:r>
      <w:r w:rsidR="006A0A36" w:rsidRPr="004F0D45">
        <w:rPr>
          <w:color w:val="000000" w:themeColor="text1"/>
        </w:rPr>
        <w:t xml:space="preserve"> </w:t>
      </w:r>
      <w:r w:rsidR="0033778D" w:rsidRPr="004F0D45">
        <w:rPr>
          <w:color w:val="000000" w:themeColor="text1"/>
        </w:rPr>
        <w:t xml:space="preserve">a </w:t>
      </w:r>
      <w:r w:rsidR="006A0A36" w:rsidRPr="004F0D45">
        <w:rPr>
          <w:color w:val="000000" w:themeColor="text1"/>
        </w:rPr>
        <w:t>contiguous segment</w:t>
      </w:r>
      <w:r w:rsidR="0033778D" w:rsidRPr="004F0D45">
        <w:rPr>
          <w:color w:val="000000" w:themeColor="text1"/>
        </w:rPr>
        <w:t xml:space="preserve"> of VRBs</w:t>
      </w:r>
      <w:r w:rsidR="00961678" w:rsidRPr="004F0D45">
        <w:rPr>
          <w:color w:val="000000" w:themeColor="text1"/>
        </w:rPr>
        <w:t>.</w:t>
      </w:r>
      <w:r w:rsidR="007B4AAE" w:rsidRPr="004F0D45">
        <w:rPr>
          <w:color w:val="000000" w:themeColor="text1"/>
        </w:rPr>
        <w:t xml:space="preserve"> </w:t>
      </w:r>
      <w:r w:rsidR="00961678" w:rsidRPr="004F0D45">
        <w:rPr>
          <w:color w:val="000000" w:themeColor="text1"/>
        </w:rPr>
        <w:t xml:space="preserve">Contrary to Type-0 FDRA where each VRB always maps to the PRB having the same index, in Type-1 FDRA </w:t>
      </w:r>
      <w:r w:rsidR="00273891" w:rsidRPr="004F0D45">
        <w:rPr>
          <w:color w:val="000000" w:themeColor="text1"/>
        </w:rPr>
        <w:t xml:space="preserve">VRB-interleaving can be signalled dynamically, whereby the allocated VRB segment is </w:t>
      </w:r>
      <w:r w:rsidR="00B07293" w:rsidRPr="004F0D45">
        <w:rPr>
          <w:color w:val="000000" w:themeColor="text1"/>
        </w:rPr>
        <w:t>map</w:t>
      </w:r>
      <w:r w:rsidR="00273891" w:rsidRPr="004F0D45">
        <w:rPr>
          <w:color w:val="000000" w:themeColor="text1"/>
        </w:rPr>
        <w:t>ped</w:t>
      </w:r>
      <w:r w:rsidR="00B07293" w:rsidRPr="004F0D45">
        <w:rPr>
          <w:color w:val="000000" w:themeColor="text1"/>
        </w:rPr>
        <w:t xml:space="preserve"> to two PRB segments</w:t>
      </w:r>
      <w:r w:rsidR="007B4AAE" w:rsidRPr="004F0D45">
        <w:rPr>
          <w:color w:val="000000" w:themeColor="text1"/>
        </w:rPr>
        <w:t xml:space="preserve"> </w:t>
      </w:r>
      <w:r w:rsidR="00B07293" w:rsidRPr="004F0D45">
        <w:rPr>
          <w:color w:val="000000" w:themeColor="text1"/>
        </w:rPr>
        <w:t xml:space="preserve">starting at half the </w:t>
      </w:r>
      <w:r w:rsidR="0033778D" w:rsidRPr="004F0D45">
        <w:rPr>
          <w:color w:val="000000" w:themeColor="text1"/>
        </w:rPr>
        <w:t xml:space="preserve">active </w:t>
      </w:r>
      <w:r w:rsidR="00B07293" w:rsidRPr="004F0D45">
        <w:rPr>
          <w:color w:val="000000" w:themeColor="text1"/>
        </w:rPr>
        <w:t xml:space="preserve">BWP </w:t>
      </w:r>
      <w:r w:rsidR="0033778D" w:rsidRPr="004F0D45">
        <w:rPr>
          <w:color w:val="000000" w:themeColor="text1"/>
        </w:rPr>
        <w:t xml:space="preserve">bandwidth </w:t>
      </w:r>
      <w:r w:rsidR="00B07293" w:rsidRPr="004F0D45">
        <w:rPr>
          <w:color w:val="000000" w:themeColor="text1"/>
        </w:rPr>
        <w:t>distance</w:t>
      </w:r>
      <w:r w:rsidR="009134DE" w:rsidRPr="004F0D45">
        <w:rPr>
          <w:color w:val="000000" w:themeColor="text1"/>
        </w:rPr>
        <w:t>,</w:t>
      </w:r>
      <w:r w:rsidR="00B07293" w:rsidRPr="004F0D45">
        <w:rPr>
          <w:color w:val="000000" w:themeColor="text1"/>
        </w:rPr>
        <w:t xml:space="preserve"> </w:t>
      </w:r>
      <w:r w:rsidR="009134DE" w:rsidRPr="004F0D45">
        <w:rPr>
          <w:color w:val="000000" w:themeColor="text1"/>
        </w:rPr>
        <w:t>where</w:t>
      </w:r>
      <w:r w:rsidR="00B07293" w:rsidRPr="004F0D45">
        <w:rPr>
          <w:color w:val="000000" w:themeColor="text1"/>
        </w:rPr>
        <w:t xml:space="preserve"> even PRBs </w:t>
      </w:r>
      <w:r w:rsidR="009134DE" w:rsidRPr="004F0D45">
        <w:rPr>
          <w:color w:val="000000" w:themeColor="text1"/>
        </w:rPr>
        <w:t xml:space="preserve">are mapped </w:t>
      </w:r>
      <w:r w:rsidR="00B07293" w:rsidRPr="004F0D45">
        <w:rPr>
          <w:color w:val="000000" w:themeColor="text1"/>
        </w:rPr>
        <w:t>to the lower segment and odd PRBs to the higher segment.</w:t>
      </w:r>
      <w:r w:rsidR="00C63C95" w:rsidRPr="004F0D45">
        <w:rPr>
          <w:color w:val="000000" w:themeColor="text1"/>
        </w:rPr>
        <w:t xml:space="preserve"> </w:t>
      </w:r>
      <w:r w:rsidR="005B0B7D" w:rsidRPr="004F0D45">
        <w:rPr>
          <w:color w:val="000000" w:themeColor="text1"/>
        </w:rPr>
        <w:t xml:space="preserve"> </w:t>
      </w:r>
    </w:p>
    <w:p w14:paraId="4B966261" w14:textId="6B7EA536" w:rsidR="005B2DD3" w:rsidRPr="004F0D45" w:rsidRDefault="005B2DD3" w:rsidP="005B2DD3">
      <w:pPr>
        <w:shd w:val="clear" w:color="auto" w:fill="FFFFFF"/>
        <w:spacing w:after="120"/>
        <w:jc w:val="both"/>
      </w:pPr>
      <w:r w:rsidRPr="004F0D45">
        <w:t>VRB-interleaving is not supported by FDRA Type-0 and is mostly incompatible with SBFD by FDRA Type-1 allocation, since PRB segments</w:t>
      </w:r>
      <w:r w:rsidR="00C42B71" w:rsidRPr="004F0D45">
        <w:t xml:space="preserve"> will</w:t>
      </w:r>
      <w:r w:rsidRPr="004F0D45">
        <w:t xml:space="preserve"> likely overlap with RBs that are not available to downlink. Using the current specification, Type-1 FDRA is restricted to RB allocations (with or without interleaving) confined within a single DL subband.  </w:t>
      </w:r>
    </w:p>
    <w:p w14:paraId="3EC4B4ED" w14:textId="5D26BFA5" w:rsidR="005B0B7D" w:rsidRPr="004F0D45" w:rsidRDefault="005B0B7D" w:rsidP="005D664D">
      <w:pPr>
        <w:shd w:val="clear" w:color="auto" w:fill="FFFFFF"/>
        <w:spacing w:after="120"/>
        <w:jc w:val="both"/>
        <w:rPr>
          <w:color w:val="000000" w:themeColor="text1"/>
        </w:rPr>
      </w:pPr>
      <w:r w:rsidRPr="004F0D45">
        <w:rPr>
          <w:color w:val="000000" w:themeColor="text1"/>
        </w:rPr>
        <w:t xml:space="preserve">  </w:t>
      </w:r>
    </w:p>
    <w:p w14:paraId="6AA2D812" w14:textId="323DB3C4" w:rsidR="004D6DB2" w:rsidRPr="004F0D45" w:rsidRDefault="004D6DB2" w:rsidP="004D6DB2">
      <w:pPr>
        <w:shd w:val="clear" w:color="auto" w:fill="FFFFFF"/>
        <w:spacing w:after="120"/>
        <w:jc w:val="center"/>
        <w:rPr>
          <w:b/>
          <w:bCs/>
          <w:color w:val="000000" w:themeColor="text1"/>
        </w:rPr>
      </w:pPr>
      <w:r w:rsidRPr="004F0D45">
        <w:rPr>
          <w:noProof/>
        </w:rPr>
        <w:lastRenderedPageBreak/>
        <w:drawing>
          <wp:inline distT="0" distB="0" distL="0" distR="0" wp14:anchorId="11BD1C36" wp14:editId="4F95034E">
            <wp:extent cx="2108200" cy="2484707"/>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37852" cy="2519654"/>
                    </a:xfrm>
                    <a:prstGeom prst="rect">
                      <a:avLst/>
                    </a:prstGeom>
                    <a:noFill/>
                    <a:ln>
                      <a:noFill/>
                    </a:ln>
                  </pic:spPr>
                </pic:pic>
              </a:graphicData>
            </a:graphic>
          </wp:inline>
        </w:drawing>
      </w:r>
    </w:p>
    <w:p w14:paraId="61D32BCD" w14:textId="7D71AC59" w:rsidR="006266B2" w:rsidRPr="004F0D45" w:rsidRDefault="004D6DB2" w:rsidP="004D6DB2">
      <w:pPr>
        <w:jc w:val="center"/>
      </w:pPr>
      <w:bookmarkStart w:id="43" w:name="_Ref110502979"/>
      <w:bookmarkStart w:id="44" w:name="_Hlk110503806"/>
      <w:r w:rsidRPr="004F0D45">
        <w:t xml:space="preserve">Figure </w:t>
      </w:r>
      <w:r w:rsidRPr="004F0D45">
        <w:fldChar w:fldCharType="begin"/>
      </w:r>
      <w:r w:rsidRPr="004F0D45">
        <w:instrText xml:space="preserve"> SEQ Figure \* ARABIC </w:instrText>
      </w:r>
      <w:r w:rsidRPr="004F0D45">
        <w:fldChar w:fldCharType="separate"/>
      </w:r>
      <w:r w:rsidR="00F230AB" w:rsidRPr="004F0D45">
        <w:rPr>
          <w:noProof/>
        </w:rPr>
        <w:t>6</w:t>
      </w:r>
      <w:r w:rsidRPr="004F0D45">
        <w:rPr>
          <w:noProof/>
        </w:rPr>
        <w:fldChar w:fldCharType="end"/>
      </w:r>
      <w:bookmarkEnd w:id="43"/>
      <w:r w:rsidRPr="004F0D45">
        <w:t xml:space="preserve">: </w:t>
      </w:r>
      <w:bookmarkEnd w:id="44"/>
      <w:r w:rsidRPr="004F0D45">
        <w:t>PDSCH FDRA Type-0 with fractional RBG allocation at DL subband edges and VRB-interleaving.</w:t>
      </w:r>
    </w:p>
    <w:p w14:paraId="40E78661" w14:textId="6979FC14" w:rsidR="00CB36E7" w:rsidRPr="004F0D45" w:rsidRDefault="009A56D4" w:rsidP="005D664D">
      <w:pPr>
        <w:shd w:val="clear" w:color="auto" w:fill="FFFFFF"/>
        <w:spacing w:after="120"/>
        <w:jc w:val="both"/>
        <w:rPr>
          <w:color w:val="000000" w:themeColor="text1"/>
        </w:rPr>
      </w:pPr>
      <w:r w:rsidRPr="004F0D45">
        <w:t>In our opinion</w:t>
      </w:r>
      <w:r w:rsidR="00961678" w:rsidRPr="004F0D45">
        <w:t>, interleaved m</w:t>
      </w:r>
      <w:r w:rsidR="00961678" w:rsidRPr="004F0D45">
        <w:rPr>
          <w:color w:val="000000" w:themeColor="text1"/>
        </w:rPr>
        <w:t xml:space="preserve">apping of odd and even VRBs over physical RBGs allocated </w:t>
      </w:r>
      <w:r w:rsidR="009134DE" w:rsidRPr="004F0D45">
        <w:rPr>
          <w:color w:val="000000" w:themeColor="text1"/>
        </w:rPr>
        <w:t>by</w:t>
      </w:r>
      <w:r w:rsidR="00961678" w:rsidRPr="004F0D45">
        <w:rPr>
          <w:color w:val="000000" w:themeColor="text1"/>
        </w:rPr>
        <w:t xml:space="preserve"> Type-0 FDRA</w:t>
      </w:r>
      <w:r w:rsidR="00DD66E4" w:rsidRPr="004F0D45">
        <w:rPr>
          <w:color w:val="000000" w:themeColor="text1"/>
        </w:rPr>
        <w:t xml:space="preserve"> can be supported for SBFD</w:t>
      </w:r>
      <w:r w:rsidR="00961678" w:rsidRPr="004F0D45">
        <w:rPr>
          <w:color w:val="000000" w:themeColor="text1"/>
        </w:rPr>
        <w:t>,</w:t>
      </w:r>
      <w:r w:rsidR="00961678" w:rsidRPr="004F0D45">
        <w:rPr>
          <w:i/>
          <w:iCs/>
          <w:color w:val="000000" w:themeColor="text1"/>
        </w:rPr>
        <w:t xml:space="preserve"> </w:t>
      </w:r>
      <w:r w:rsidR="00961678" w:rsidRPr="004F0D45">
        <w:rPr>
          <w:color w:val="000000" w:themeColor="text1"/>
        </w:rPr>
        <w:t>a</w:t>
      </w:r>
      <w:r w:rsidR="00CC5B11" w:rsidRPr="004F0D45">
        <w:rPr>
          <w:color w:val="000000" w:themeColor="text1"/>
        </w:rPr>
        <w:t xml:space="preserve">s illustrated by an example in </w:t>
      </w:r>
      <w:r w:rsidR="00897D8C" w:rsidRPr="004F0D45">
        <w:rPr>
          <w:color w:val="000000" w:themeColor="text1"/>
        </w:rPr>
        <w:fldChar w:fldCharType="begin"/>
      </w:r>
      <w:r w:rsidR="00897D8C" w:rsidRPr="004F0D45">
        <w:rPr>
          <w:color w:val="000000" w:themeColor="text1"/>
        </w:rPr>
        <w:instrText xml:space="preserve"> REF _Ref110502979 \h </w:instrText>
      </w:r>
      <w:r w:rsidR="00397FE2" w:rsidRPr="004F0D45">
        <w:rPr>
          <w:color w:val="000000" w:themeColor="text1"/>
        </w:rPr>
        <w:instrText xml:space="preserve"> \* MERGEFORMAT </w:instrText>
      </w:r>
      <w:r w:rsidR="00897D8C" w:rsidRPr="004F0D45">
        <w:rPr>
          <w:color w:val="000000" w:themeColor="text1"/>
        </w:rPr>
      </w:r>
      <w:r w:rsidR="00897D8C" w:rsidRPr="004F0D45">
        <w:rPr>
          <w:color w:val="000000" w:themeColor="text1"/>
        </w:rPr>
        <w:fldChar w:fldCharType="separate"/>
      </w:r>
      <w:r w:rsidR="00F230AB" w:rsidRPr="004F0D45">
        <w:t xml:space="preserve">Figure </w:t>
      </w:r>
      <w:r w:rsidR="00F230AB" w:rsidRPr="004F0D45">
        <w:rPr>
          <w:noProof/>
        </w:rPr>
        <w:t>6</w:t>
      </w:r>
      <w:r w:rsidR="00897D8C" w:rsidRPr="004F0D45">
        <w:rPr>
          <w:color w:val="000000" w:themeColor="text1"/>
        </w:rPr>
        <w:fldChar w:fldCharType="end"/>
      </w:r>
      <w:r w:rsidR="00897D8C" w:rsidRPr="004F0D45">
        <w:rPr>
          <w:color w:val="000000" w:themeColor="text1"/>
        </w:rPr>
        <w:t xml:space="preserve">. </w:t>
      </w:r>
      <w:r w:rsidR="00961678" w:rsidRPr="004F0D45">
        <w:rPr>
          <w:color w:val="000000" w:themeColor="text1"/>
        </w:rPr>
        <w:t>Such</w:t>
      </w:r>
      <w:r w:rsidR="0028138D" w:rsidRPr="004F0D45">
        <w:rPr>
          <w:color w:val="000000" w:themeColor="text1"/>
        </w:rPr>
        <w:t xml:space="preserve"> interleaved VRB mapping would not alter the</w:t>
      </w:r>
      <w:r w:rsidR="00C5780B" w:rsidRPr="004F0D45">
        <w:rPr>
          <w:color w:val="000000" w:themeColor="text1"/>
        </w:rPr>
        <w:t xml:space="preserve"> </w:t>
      </w:r>
      <w:r w:rsidR="009134DE" w:rsidRPr="004F0D45">
        <w:rPr>
          <w:color w:val="000000" w:themeColor="text1"/>
        </w:rPr>
        <w:t>set of allocated PRBs</w:t>
      </w:r>
      <w:r w:rsidR="0028138D" w:rsidRPr="004F0D45">
        <w:rPr>
          <w:color w:val="000000" w:themeColor="text1"/>
        </w:rPr>
        <w:t xml:space="preserve">, thus it would not </w:t>
      </w:r>
      <w:r w:rsidR="005E2E4A" w:rsidRPr="004F0D45">
        <w:rPr>
          <w:color w:val="000000" w:themeColor="text1"/>
        </w:rPr>
        <w:t>influence</w:t>
      </w:r>
      <w:r w:rsidR="003348E0" w:rsidRPr="004F0D45">
        <w:rPr>
          <w:color w:val="000000" w:themeColor="text1"/>
        </w:rPr>
        <w:t xml:space="preserve"> </w:t>
      </w:r>
      <w:r w:rsidR="00CC5B11" w:rsidRPr="004F0D45">
        <w:rPr>
          <w:color w:val="000000" w:themeColor="text1"/>
        </w:rPr>
        <w:t xml:space="preserve">coexistence with </w:t>
      </w:r>
      <w:r w:rsidR="00CC7E1A" w:rsidRPr="004F0D45">
        <w:rPr>
          <w:color w:val="000000" w:themeColor="text1"/>
        </w:rPr>
        <w:t>legacy</w:t>
      </w:r>
      <w:r w:rsidR="00CC5B11" w:rsidRPr="004F0D45">
        <w:rPr>
          <w:color w:val="000000" w:themeColor="text1"/>
        </w:rPr>
        <w:t xml:space="preserve"> UEs</w:t>
      </w:r>
      <w:r w:rsidR="00C5780B" w:rsidRPr="004F0D45">
        <w:rPr>
          <w:color w:val="000000" w:themeColor="text1"/>
        </w:rPr>
        <w:t>.</w:t>
      </w:r>
      <w:r w:rsidR="00CC5B11" w:rsidRPr="004F0D45">
        <w:rPr>
          <w:color w:val="000000" w:themeColor="text1"/>
        </w:rPr>
        <w:t xml:space="preserve"> </w:t>
      </w:r>
    </w:p>
    <w:p w14:paraId="0B88D865" w14:textId="13F30F34" w:rsidR="00522035" w:rsidRPr="004F0D45" w:rsidRDefault="002C10AD" w:rsidP="005D664D">
      <w:pPr>
        <w:shd w:val="clear" w:color="auto" w:fill="FFFFFF"/>
        <w:spacing w:after="120"/>
        <w:jc w:val="both"/>
        <w:rPr>
          <w:color w:val="000000" w:themeColor="text1"/>
        </w:rPr>
      </w:pPr>
      <w:r w:rsidRPr="004F0D45">
        <w:rPr>
          <w:color w:val="000000" w:themeColor="text1"/>
        </w:rPr>
        <w:t xml:space="preserve">In </w:t>
      </w:r>
      <w:r w:rsidR="002C1577" w:rsidRPr="004F0D45">
        <w:rPr>
          <w:color w:val="000000" w:themeColor="text1"/>
        </w:rPr>
        <w:t>addition</w:t>
      </w:r>
      <w:r w:rsidRPr="004F0D45">
        <w:rPr>
          <w:color w:val="000000" w:themeColor="text1"/>
        </w:rPr>
        <w:t>, Type-1 FDRA over non-contiguous DL subbands can be s</w:t>
      </w:r>
      <w:r w:rsidR="00575A87" w:rsidRPr="004F0D45">
        <w:rPr>
          <w:color w:val="000000" w:themeColor="text1"/>
        </w:rPr>
        <w:t xml:space="preserve">upported </w:t>
      </w:r>
      <w:r w:rsidR="00832925" w:rsidRPr="004F0D45">
        <w:rPr>
          <w:color w:val="000000" w:themeColor="text1"/>
        </w:rPr>
        <w:t>on SBFD slots/symbols</w:t>
      </w:r>
      <w:r w:rsidR="00575A87" w:rsidRPr="004F0D45">
        <w:rPr>
          <w:color w:val="000000" w:themeColor="text1"/>
        </w:rPr>
        <w:t xml:space="preserve">. For such allocation, the </w:t>
      </w:r>
      <w:r w:rsidR="001F0A2B" w:rsidRPr="004F0D45">
        <w:rPr>
          <w:color w:val="000000" w:themeColor="text1"/>
        </w:rPr>
        <w:t xml:space="preserve">VRBs </w:t>
      </w:r>
      <w:r w:rsidR="001D5A92" w:rsidRPr="004F0D45">
        <w:rPr>
          <w:color w:val="000000" w:themeColor="text1"/>
        </w:rPr>
        <w:t>(</w:t>
      </w:r>
      <w:r w:rsidR="001F0A2B" w:rsidRPr="004F0D45">
        <w:rPr>
          <w:color w:val="000000" w:themeColor="text1"/>
        </w:rPr>
        <w:t xml:space="preserve">or </w:t>
      </w:r>
      <w:r w:rsidR="00575A87" w:rsidRPr="004F0D45">
        <w:rPr>
          <w:color w:val="000000" w:themeColor="text1"/>
        </w:rPr>
        <w:t>PRBs</w:t>
      </w:r>
      <w:r w:rsidR="001D5A92" w:rsidRPr="004F0D45">
        <w:rPr>
          <w:color w:val="000000" w:themeColor="text1"/>
        </w:rPr>
        <w:t>)</w:t>
      </w:r>
      <w:r w:rsidR="00575A87" w:rsidRPr="004F0D45">
        <w:rPr>
          <w:color w:val="000000" w:themeColor="text1"/>
        </w:rPr>
        <w:t xml:space="preserve"> can be renumbered/reindexed, in relation to CRB numbering, to exclude </w:t>
      </w:r>
      <w:r w:rsidR="001D5A92" w:rsidRPr="004F0D45">
        <w:rPr>
          <w:color w:val="000000" w:themeColor="text1"/>
        </w:rPr>
        <w:t>V</w:t>
      </w:r>
      <w:r w:rsidR="00575A87" w:rsidRPr="004F0D45">
        <w:rPr>
          <w:color w:val="000000" w:themeColor="text1"/>
        </w:rPr>
        <w:t xml:space="preserve">RBs that fall outside the DL subbands, as shown in </w:t>
      </w:r>
      <w:r w:rsidR="007747E6" w:rsidRPr="004F0D45">
        <w:rPr>
          <w:color w:val="000000" w:themeColor="text1"/>
        </w:rPr>
        <w:fldChar w:fldCharType="begin"/>
      </w:r>
      <w:r w:rsidR="007747E6" w:rsidRPr="004F0D45">
        <w:rPr>
          <w:color w:val="000000" w:themeColor="text1"/>
        </w:rPr>
        <w:instrText xml:space="preserve"> REF _Ref134107808 \h </w:instrText>
      </w:r>
      <w:r w:rsidR="004F0D45">
        <w:rPr>
          <w:color w:val="000000" w:themeColor="text1"/>
        </w:rPr>
        <w:instrText xml:space="preserve"> \* MERGEFORMAT </w:instrText>
      </w:r>
      <w:r w:rsidR="007747E6" w:rsidRPr="004F0D45">
        <w:rPr>
          <w:color w:val="000000" w:themeColor="text1"/>
        </w:rPr>
      </w:r>
      <w:r w:rsidR="007747E6" w:rsidRPr="004F0D45">
        <w:rPr>
          <w:color w:val="000000" w:themeColor="text1"/>
        </w:rPr>
        <w:fldChar w:fldCharType="separate"/>
      </w:r>
      <w:r w:rsidR="00F230AB" w:rsidRPr="004F0D45">
        <w:t xml:space="preserve">Figure </w:t>
      </w:r>
      <w:r w:rsidR="00F230AB" w:rsidRPr="004F0D45">
        <w:rPr>
          <w:noProof/>
        </w:rPr>
        <w:t>7</w:t>
      </w:r>
      <w:r w:rsidR="007747E6" w:rsidRPr="004F0D45">
        <w:rPr>
          <w:color w:val="000000" w:themeColor="text1"/>
        </w:rPr>
        <w:fldChar w:fldCharType="end"/>
      </w:r>
      <w:r w:rsidR="00AD044D" w:rsidRPr="004F0D45">
        <w:rPr>
          <w:color w:val="000000" w:themeColor="text1"/>
        </w:rPr>
        <w:t>.</w:t>
      </w:r>
      <w:r w:rsidR="00575A87" w:rsidRPr="004F0D45">
        <w:rPr>
          <w:color w:val="000000" w:themeColor="text1"/>
        </w:rPr>
        <w:t xml:space="preserve"> </w:t>
      </w:r>
      <w:r w:rsidR="00B21CE2" w:rsidRPr="004F0D45">
        <w:rPr>
          <w:color w:val="000000" w:themeColor="text1"/>
        </w:rPr>
        <w:t>In this case, t</w:t>
      </w:r>
      <w:r w:rsidR="00575A87" w:rsidRPr="004F0D45">
        <w:rPr>
          <w:color w:val="000000" w:themeColor="text1"/>
        </w:rPr>
        <w:t>he gNB can flexibly allocate RBs across the DL subbands, since the FDRA remains contiguous from the UE</w:t>
      </w:r>
      <w:r w:rsidR="00B21CE2" w:rsidRPr="004F0D45">
        <w:rPr>
          <w:color w:val="000000" w:themeColor="text1"/>
        </w:rPr>
        <w:t>’s</w:t>
      </w:r>
      <w:r w:rsidR="00575A87" w:rsidRPr="004F0D45">
        <w:rPr>
          <w:color w:val="000000" w:themeColor="text1"/>
        </w:rPr>
        <w:t xml:space="preserve"> perspective due to the renumbered PRBs.</w:t>
      </w:r>
      <w:r w:rsidR="006F24FA" w:rsidRPr="004F0D45">
        <w:rPr>
          <w:color w:val="000000" w:themeColor="text1"/>
        </w:rPr>
        <w:t xml:space="preserve"> </w:t>
      </w:r>
      <w:r w:rsidR="003B4A65" w:rsidRPr="004F0D45">
        <w:rPr>
          <w:color w:val="000000" w:themeColor="text1"/>
        </w:rPr>
        <w:t>Also</w:t>
      </w:r>
      <w:r w:rsidR="006F24FA" w:rsidRPr="004F0D45">
        <w:rPr>
          <w:color w:val="000000" w:themeColor="text1"/>
        </w:rPr>
        <w:t xml:space="preserve">, the issue mentioned above for VRB-interleaving can be avoided since </w:t>
      </w:r>
      <w:r w:rsidR="001F0A2B" w:rsidRPr="004F0D45">
        <w:rPr>
          <w:color w:val="000000" w:themeColor="text1"/>
        </w:rPr>
        <w:t>RBs outside the DL subbands will not be considered in the interleaving procedure after VRB reindexing</w:t>
      </w:r>
      <w:r w:rsidR="00927F67" w:rsidRPr="004F0D45">
        <w:rPr>
          <w:color w:val="000000" w:themeColor="text1"/>
        </w:rPr>
        <w:t xml:space="preserve">. </w:t>
      </w:r>
    </w:p>
    <w:p w14:paraId="59AA0C7E" w14:textId="260057AD" w:rsidR="00034CD7" w:rsidRPr="004F0D45" w:rsidRDefault="00927F67" w:rsidP="005D664D">
      <w:pPr>
        <w:shd w:val="clear" w:color="auto" w:fill="FFFFFF"/>
        <w:spacing w:after="120"/>
        <w:jc w:val="both"/>
        <w:rPr>
          <w:color w:val="000000" w:themeColor="text1"/>
        </w:rPr>
      </w:pPr>
      <w:r w:rsidRPr="004F0D45">
        <w:rPr>
          <w:color w:val="000000" w:themeColor="text1"/>
        </w:rPr>
        <w:t xml:space="preserve">When </w:t>
      </w:r>
      <w:r w:rsidR="00522035" w:rsidRPr="004F0D45">
        <w:rPr>
          <w:color w:val="000000" w:themeColor="text1"/>
        </w:rPr>
        <w:t xml:space="preserve">RB allocation across non-contiguous DL subbands with VRB </w:t>
      </w:r>
      <w:r w:rsidRPr="004F0D45">
        <w:rPr>
          <w:color w:val="000000" w:themeColor="text1"/>
        </w:rPr>
        <w:t>reindexing is applied on SBFD slots/symbols, the</w:t>
      </w:r>
      <w:r w:rsidR="00522035" w:rsidRPr="004F0D45">
        <w:rPr>
          <w:color w:val="000000" w:themeColor="text1"/>
        </w:rPr>
        <w:t xml:space="preserve"> number of RBs available for resource allocation is fewer than the total number of RBs on the BWP. </w:t>
      </w:r>
      <w:r w:rsidR="00E54395" w:rsidRPr="004F0D45">
        <w:rPr>
          <w:color w:val="000000" w:themeColor="text1"/>
        </w:rPr>
        <w:t>Therefore, u</w:t>
      </w:r>
      <w:r w:rsidR="00522035" w:rsidRPr="004F0D45">
        <w:rPr>
          <w:color w:val="000000" w:themeColor="text1"/>
        </w:rPr>
        <w:t>sing the current specification, only a subset of the bits within the frequency domain assignment field</w:t>
      </w:r>
      <w:r w:rsidR="00E54395" w:rsidRPr="004F0D45">
        <w:rPr>
          <w:color w:val="000000" w:themeColor="text1"/>
        </w:rPr>
        <w:t xml:space="preserve"> of the scheduling DCI</w:t>
      </w:r>
      <w:r w:rsidR="00522035" w:rsidRPr="004F0D45">
        <w:rPr>
          <w:color w:val="000000" w:themeColor="text1"/>
        </w:rPr>
        <w:t xml:space="preserve"> will be used for resource allocation. </w:t>
      </w:r>
      <w:r w:rsidR="00366BE9" w:rsidRPr="004F0D45">
        <w:rPr>
          <w:color w:val="000000" w:themeColor="text1"/>
        </w:rPr>
        <w:t xml:space="preserve">For example, </w:t>
      </w:r>
      <w:r w:rsidR="0047471B" w:rsidRPr="004F0D45">
        <w:rPr>
          <w:color w:val="000000" w:themeColor="text1"/>
        </w:rPr>
        <w:t>for</w:t>
      </w:r>
      <w:r w:rsidR="003D028F" w:rsidRPr="004F0D45">
        <w:rPr>
          <w:color w:val="000000" w:themeColor="text1"/>
        </w:rPr>
        <w:t xml:space="preserve"> Type-0 FDRA on a BWP with 40 RBs and RBG size of 4 RBs, there is a total of 10 RBGs, which implies a</w:t>
      </w:r>
      <w:r w:rsidR="00A7507C" w:rsidRPr="004F0D45">
        <w:rPr>
          <w:color w:val="000000" w:themeColor="text1"/>
        </w:rPr>
        <w:t xml:space="preserve">n FDRA bitmap of length 10 (one bit is used to allocate one RBG). Assuming that </w:t>
      </w:r>
      <w:r w:rsidR="0047471B" w:rsidRPr="004F0D45">
        <w:rPr>
          <w:color w:val="000000" w:themeColor="text1"/>
        </w:rPr>
        <w:t xml:space="preserve">the UL subband </w:t>
      </w:r>
      <w:r w:rsidR="00A7507C" w:rsidRPr="004F0D45">
        <w:rPr>
          <w:color w:val="000000" w:themeColor="text1"/>
        </w:rPr>
        <w:t xml:space="preserve">overlaps with two RBGs in the middle of the BWP, only 8 out of the 10 bits in the FDRA bitmap is required for allocation. The remaining </w:t>
      </w:r>
      <w:r w:rsidR="007A6490" w:rsidRPr="004F0D45">
        <w:rPr>
          <w:color w:val="000000" w:themeColor="text1"/>
        </w:rPr>
        <w:t>2</w:t>
      </w:r>
      <w:r w:rsidR="00A7507C" w:rsidRPr="004F0D45">
        <w:rPr>
          <w:color w:val="000000" w:themeColor="text1"/>
        </w:rPr>
        <w:t xml:space="preserve"> bits</w:t>
      </w:r>
      <w:r w:rsidR="0047471B" w:rsidRPr="004F0D45">
        <w:rPr>
          <w:color w:val="000000" w:themeColor="text1"/>
        </w:rPr>
        <w:t>,</w:t>
      </w:r>
      <w:r w:rsidR="00A7507C" w:rsidRPr="004F0D45">
        <w:rPr>
          <w:color w:val="000000" w:themeColor="text1"/>
        </w:rPr>
        <w:t xml:space="preserve"> corresponding to the RBGs that fall outside the DL subbands</w:t>
      </w:r>
      <w:r w:rsidR="0047471B" w:rsidRPr="004F0D45">
        <w:rPr>
          <w:color w:val="000000" w:themeColor="text1"/>
        </w:rPr>
        <w:t>,</w:t>
      </w:r>
      <w:r w:rsidR="00A7507C" w:rsidRPr="004F0D45">
        <w:rPr>
          <w:color w:val="000000" w:themeColor="text1"/>
        </w:rPr>
        <w:t xml:space="preserve"> will not be used for allocation. </w:t>
      </w:r>
      <w:r w:rsidR="005C6F13" w:rsidRPr="004F0D45">
        <w:rPr>
          <w:color w:val="000000" w:themeColor="text1"/>
        </w:rPr>
        <w:t>The unused bits in the FDRA bitmap can be reused for other purposes. For example,</w:t>
      </w:r>
      <w:r w:rsidR="000B3D9B" w:rsidRPr="004F0D45">
        <w:rPr>
          <w:color w:val="000000" w:themeColor="text1"/>
        </w:rPr>
        <w:t xml:space="preserve"> for Type-1 FDRA in PUSCH,</w:t>
      </w:r>
      <w:r w:rsidR="005C6F13" w:rsidRPr="004F0D45">
        <w:rPr>
          <w:color w:val="000000" w:themeColor="text1"/>
        </w:rPr>
        <w:t xml:space="preserve"> the 1 or 2 bits used to indicate frequency hopping offset in the current specification can be chosen </w:t>
      </w:r>
      <w:r w:rsidR="0047471B" w:rsidRPr="004F0D45">
        <w:rPr>
          <w:color w:val="000000" w:themeColor="text1"/>
        </w:rPr>
        <w:t xml:space="preserve">from </w:t>
      </w:r>
      <w:r w:rsidR="005C6F13" w:rsidRPr="004F0D45">
        <w:rPr>
          <w:color w:val="000000" w:themeColor="text1"/>
        </w:rPr>
        <w:t xml:space="preserve">the set of unused bits. </w:t>
      </w:r>
      <w:r w:rsidR="003D028F" w:rsidRPr="004F0D45">
        <w:rPr>
          <w:color w:val="000000" w:themeColor="text1"/>
        </w:rPr>
        <w:t xml:space="preserve"> </w:t>
      </w:r>
    </w:p>
    <w:p w14:paraId="2274C81A" w14:textId="6C50BB40" w:rsidR="00530949" w:rsidRPr="004F0D45" w:rsidRDefault="00530949" w:rsidP="005D664D">
      <w:pPr>
        <w:shd w:val="clear" w:color="auto" w:fill="FFFFFF"/>
        <w:spacing w:after="120"/>
        <w:jc w:val="both"/>
        <w:rPr>
          <w:b/>
          <w:bCs/>
          <w:i/>
          <w:iCs/>
        </w:rPr>
      </w:pPr>
      <w:bookmarkStart w:id="45" w:name="_Ref111210727"/>
      <w:r w:rsidRPr="004F0D45">
        <w:rPr>
          <w:b/>
          <w:bCs/>
          <w:i/>
          <w:iCs/>
        </w:rPr>
        <w:t>Observation</w:t>
      </w:r>
      <w:r w:rsidR="00CA7488" w:rsidRPr="004F0D45">
        <w:rPr>
          <w:b/>
          <w:bCs/>
          <w:i/>
          <w:iCs/>
        </w:rPr>
        <w:t xml:space="preserve"> </w:t>
      </w:r>
      <w:r w:rsidR="00CA7488" w:rsidRPr="004F0D45">
        <w:rPr>
          <w:b/>
          <w:bCs/>
          <w:i/>
          <w:iCs/>
        </w:rPr>
        <w:fldChar w:fldCharType="begin"/>
      </w:r>
      <w:r w:rsidR="00CA7488" w:rsidRPr="004F0D45">
        <w:rPr>
          <w:b/>
          <w:bCs/>
          <w:i/>
          <w:iCs/>
        </w:rPr>
        <w:instrText xml:space="preserve"> SEQ Observation \* ARABIC </w:instrText>
      </w:r>
      <w:r w:rsidR="00CA7488" w:rsidRPr="004F0D45">
        <w:rPr>
          <w:b/>
          <w:bCs/>
          <w:i/>
          <w:iCs/>
        </w:rPr>
        <w:fldChar w:fldCharType="separate"/>
      </w:r>
      <w:r w:rsidR="00F230AB" w:rsidRPr="004F0D45">
        <w:rPr>
          <w:b/>
          <w:bCs/>
          <w:i/>
          <w:iCs/>
          <w:noProof/>
        </w:rPr>
        <w:t>6</w:t>
      </w:r>
      <w:r w:rsidR="00CA7488" w:rsidRPr="004F0D45">
        <w:rPr>
          <w:b/>
          <w:bCs/>
          <w:i/>
          <w:iCs/>
        </w:rPr>
        <w:fldChar w:fldCharType="end"/>
      </w:r>
      <w:r w:rsidRPr="004F0D45">
        <w:rPr>
          <w:b/>
          <w:bCs/>
          <w:i/>
          <w:iCs/>
        </w:rPr>
        <w:t xml:space="preserve">: </w:t>
      </w:r>
      <w:bookmarkStart w:id="46" w:name="_Ref118365565"/>
      <w:r w:rsidRPr="004F0D45">
        <w:rPr>
          <w:b/>
          <w:bCs/>
          <w:i/>
          <w:iCs/>
        </w:rPr>
        <w:t xml:space="preserve">When using FDRA Type-0 for PDSCH </w:t>
      </w:r>
      <w:r w:rsidR="00C539E8" w:rsidRPr="004F0D45">
        <w:rPr>
          <w:b/>
          <w:bCs/>
          <w:i/>
          <w:iCs/>
        </w:rPr>
        <w:t>scheduling</w:t>
      </w:r>
      <w:r w:rsidRPr="004F0D45">
        <w:rPr>
          <w:b/>
          <w:bCs/>
          <w:i/>
          <w:iCs/>
        </w:rPr>
        <w:t xml:space="preserve">, </w:t>
      </w:r>
      <w:r w:rsidR="00C539E8" w:rsidRPr="004F0D45">
        <w:rPr>
          <w:b/>
          <w:bCs/>
          <w:i/>
          <w:iCs/>
        </w:rPr>
        <w:t xml:space="preserve">certain </w:t>
      </w:r>
      <w:r w:rsidRPr="004F0D45">
        <w:rPr>
          <w:b/>
          <w:bCs/>
          <w:i/>
          <w:iCs/>
        </w:rPr>
        <w:t>RBG(s) may be unavailable due to partial overlap with UL-subband (and/or any guard band) leading to resource fragmentation.</w:t>
      </w:r>
      <w:bookmarkEnd w:id="45"/>
      <w:bookmarkEnd w:id="46"/>
      <w:r w:rsidRPr="004F0D45">
        <w:rPr>
          <w:b/>
          <w:bCs/>
          <w:i/>
          <w:iCs/>
        </w:rPr>
        <w:t xml:space="preserve"> </w:t>
      </w:r>
    </w:p>
    <w:p w14:paraId="66E0AFB8" w14:textId="34BC5E3A" w:rsidR="00530949" w:rsidRPr="004F0D45" w:rsidRDefault="00530949" w:rsidP="005D664D">
      <w:pPr>
        <w:shd w:val="clear" w:color="auto" w:fill="FFFFFF"/>
        <w:spacing w:after="120"/>
        <w:jc w:val="both"/>
        <w:rPr>
          <w:b/>
          <w:bCs/>
          <w:i/>
          <w:iCs/>
        </w:rPr>
      </w:pPr>
      <w:bookmarkStart w:id="47" w:name="_Ref111210729"/>
      <w:r w:rsidRPr="004F0D45">
        <w:rPr>
          <w:b/>
          <w:bCs/>
          <w:i/>
          <w:iCs/>
        </w:rPr>
        <w:t>Observation</w:t>
      </w:r>
      <w:r w:rsidR="00CA7488" w:rsidRPr="004F0D45">
        <w:rPr>
          <w:b/>
          <w:bCs/>
          <w:i/>
          <w:iCs/>
        </w:rPr>
        <w:t xml:space="preserve"> </w:t>
      </w:r>
      <w:r w:rsidR="00CA7488" w:rsidRPr="004F0D45">
        <w:rPr>
          <w:b/>
          <w:bCs/>
          <w:i/>
          <w:iCs/>
        </w:rPr>
        <w:fldChar w:fldCharType="begin"/>
      </w:r>
      <w:r w:rsidR="00CA7488" w:rsidRPr="004F0D45">
        <w:rPr>
          <w:b/>
          <w:bCs/>
          <w:i/>
          <w:iCs/>
        </w:rPr>
        <w:instrText xml:space="preserve"> SEQ Observation \* ARABIC </w:instrText>
      </w:r>
      <w:r w:rsidR="00CA7488" w:rsidRPr="004F0D45">
        <w:rPr>
          <w:b/>
          <w:bCs/>
          <w:i/>
          <w:iCs/>
        </w:rPr>
        <w:fldChar w:fldCharType="separate"/>
      </w:r>
      <w:r w:rsidR="00F230AB" w:rsidRPr="004F0D45">
        <w:rPr>
          <w:b/>
          <w:bCs/>
          <w:i/>
          <w:iCs/>
          <w:noProof/>
        </w:rPr>
        <w:t>7</w:t>
      </w:r>
      <w:r w:rsidR="00CA7488" w:rsidRPr="004F0D45">
        <w:rPr>
          <w:b/>
          <w:bCs/>
          <w:i/>
          <w:iCs/>
        </w:rPr>
        <w:fldChar w:fldCharType="end"/>
      </w:r>
      <w:r w:rsidRPr="004F0D45">
        <w:rPr>
          <w:b/>
          <w:bCs/>
          <w:i/>
          <w:iCs/>
        </w:rPr>
        <w:t xml:space="preserve">: </w:t>
      </w:r>
      <w:bookmarkStart w:id="48" w:name="_Ref118365578"/>
      <w:r w:rsidRPr="004F0D45">
        <w:rPr>
          <w:b/>
          <w:bCs/>
          <w:i/>
          <w:iCs/>
        </w:rPr>
        <w:t>VRB-interleaving is not supported by FDRA Type-</w:t>
      </w:r>
      <w:r w:rsidR="00AD4E00" w:rsidRPr="004F0D45">
        <w:rPr>
          <w:b/>
          <w:bCs/>
          <w:i/>
          <w:iCs/>
        </w:rPr>
        <w:t>0 and</w:t>
      </w:r>
      <w:r w:rsidRPr="004F0D45">
        <w:rPr>
          <w:b/>
          <w:bCs/>
          <w:i/>
          <w:iCs/>
        </w:rPr>
        <w:t xml:space="preserve"> </w:t>
      </w:r>
      <w:r w:rsidR="00546572" w:rsidRPr="004F0D45">
        <w:rPr>
          <w:b/>
          <w:bCs/>
          <w:i/>
          <w:iCs/>
        </w:rPr>
        <w:t>is mostly</w:t>
      </w:r>
      <w:r w:rsidRPr="004F0D45">
        <w:rPr>
          <w:b/>
          <w:bCs/>
          <w:i/>
          <w:iCs/>
        </w:rPr>
        <w:t xml:space="preserve"> </w:t>
      </w:r>
      <w:r w:rsidR="00AD4E00" w:rsidRPr="004F0D45">
        <w:rPr>
          <w:b/>
          <w:bCs/>
          <w:i/>
          <w:iCs/>
        </w:rPr>
        <w:t>incompatible</w:t>
      </w:r>
      <w:r w:rsidRPr="004F0D45">
        <w:rPr>
          <w:b/>
          <w:bCs/>
          <w:i/>
          <w:iCs/>
        </w:rPr>
        <w:t xml:space="preserve"> </w:t>
      </w:r>
      <w:r w:rsidR="00AD4E00" w:rsidRPr="004F0D45">
        <w:rPr>
          <w:b/>
          <w:bCs/>
          <w:i/>
          <w:iCs/>
        </w:rPr>
        <w:t>with SBFD by</w:t>
      </w:r>
      <w:r w:rsidRPr="004F0D45">
        <w:rPr>
          <w:b/>
          <w:bCs/>
          <w:i/>
          <w:iCs/>
        </w:rPr>
        <w:t xml:space="preserve"> FDRA Type-1 allocation, </w:t>
      </w:r>
      <w:r w:rsidR="0007531D" w:rsidRPr="004F0D45">
        <w:rPr>
          <w:b/>
          <w:bCs/>
          <w:i/>
          <w:iCs/>
        </w:rPr>
        <w:t>since</w:t>
      </w:r>
      <w:r w:rsidRPr="004F0D45">
        <w:rPr>
          <w:b/>
          <w:bCs/>
          <w:i/>
          <w:iCs/>
        </w:rPr>
        <w:t xml:space="preserve"> PRB segments </w:t>
      </w:r>
      <w:r w:rsidR="00AD4E00" w:rsidRPr="004F0D45">
        <w:rPr>
          <w:b/>
          <w:bCs/>
          <w:i/>
          <w:iCs/>
        </w:rPr>
        <w:t>likely</w:t>
      </w:r>
      <w:r w:rsidRPr="004F0D45">
        <w:rPr>
          <w:b/>
          <w:bCs/>
          <w:i/>
          <w:iCs/>
        </w:rPr>
        <w:t xml:space="preserve"> overlap with RBs that are not available to downlink.</w:t>
      </w:r>
      <w:r w:rsidR="0007531D" w:rsidRPr="004F0D45">
        <w:rPr>
          <w:b/>
          <w:bCs/>
          <w:i/>
          <w:iCs/>
        </w:rPr>
        <w:t xml:space="preserve"> </w:t>
      </w:r>
      <w:bookmarkEnd w:id="47"/>
      <w:bookmarkEnd w:id="48"/>
    </w:p>
    <w:p w14:paraId="5953F867" w14:textId="77D1445A" w:rsidR="000E6970" w:rsidRPr="004F0D45" w:rsidRDefault="000E6970" w:rsidP="005D664D">
      <w:pPr>
        <w:shd w:val="clear" w:color="auto" w:fill="FFFFFF"/>
        <w:spacing w:after="120"/>
        <w:jc w:val="both"/>
        <w:rPr>
          <w:b/>
          <w:bCs/>
          <w:i/>
          <w:iCs/>
        </w:rPr>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F230AB" w:rsidRPr="004F0D45">
        <w:rPr>
          <w:b/>
          <w:bCs/>
          <w:i/>
          <w:iCs/>
          <w:noProof/>
        </w:rPr>
        <w:t>8</w:t>
      </w:r>
      <w:r w:rsidRPr="004F0D45">
        <w:rPr>
          <w:b/>
          <w:bCs/>
          <w:i/>
          <w:iCs/>
        </w:rPr>
        <w:fldChar w:fldCharType="end"/>
      </w:r>
      <w:r w:rsidRPr="004F0D45">
        <w:rPr>
          <w:b/>
          <w:bCs/>
          <w:i/>
          <w:iCs/>
        </w:rPr>
        <w:t xml:space="preserve">: </w:t>
      </w:r>
      <w:bookmarkStart w:id="49" w:name="_Ref134108404"/>
      <w:r w:rsidRPr="004F0D45">
        <w:rPr>
          <w:b/>
          <w:bCs/>
          <w:i/>
          <w:iCs/>
        </w:rPr>
        <w:t>For RB allocation across non-contiguous DL subbands</w:t>
      </w:r>
      <w:r w:rsidR="00D47923" w:rsidRPr="004F0D45">
        <w:rPr>
          <w:b/>
          <w:bCs/>
          <w:i/>
          <w:iCs/>
        </w:rPr>
        <w:t xml:space="preserve"> with reindexed VRBs/PRBs,</w:t>
      </w:r>
      <w:r w:rsidRPr="004F0D45">
        <w:rPr>
          <w:b/>
          <w:bCs/>
          <w:i/>
          <w:iCs/>
        </w:rPr>
        <w:t xml:space="preserve"> not all the bits </w:t>
      </w:r>
      <w:r w:rsidR="00A13EEE" w:rsidRPr="004F0D45">
        <w:rPr>
          <w:b/>
          <w:bCs/>
          <w:i/>
          <w:iCs/>
        </w:rPr>
        <w:t>of the</w:t>
      </w:r>
      <w:r w:rsidRPr="004F0D45">
        <w:rPr>
          <w:b/>
          <w:bCs/>
          <w:i/>
          <w:iCs/>
        </w:rPr>
        <w:t xml:space="preserve"> FDRA bit</w:t>
      </w:r>
      <w:r w:rsidR="00A13EEE" w:rsidRPr="004F0D45">
        <w:rPr>
          <w:b/>
          <w:bCs/>
          <w:i/>
          <w:iCs/>
        </w:rPr>
        <w:t xml:space="preserve"> field in the scheduling DCI</w:t>
      </w:r>
      <w:r w:rsidRPr="004F0D45">
        <w:rPr>
          <w:b/>
          <w:bCs/>
          <w:i/>
          <w:iCs/>
        </w:rPr>
        <w:t xml:space="preserve"> are required for resource allocation</w:t>
      </w:r>
      <w:bookmarkEnd w:id="49"/>
      <w:r w:rsidR="00DB7354" w:rsidRPr="004F0D45">
        <w:rPr>
          <w:b/>
          <w:bCs/>
          <w:i/>
          <w:iCs/>
        </w:rPr>
        <w:t>.</w:t>
      </w:r>
      <w:r w:rsidRPr="004F0D45">
        <w:rPr>
          <w:b/>
          <w:bCs/>
          <w:i/>
          <w:iCs/>
        </w:rPr>
        <w:t xml:space="preserve"> </w:t>
      </w:r>
    </w:p>
    <w:p w14:paraId="5F295CC5" w14:textId="1F841FE2" w:rsidR="00927F67" w:rsidRPr="004F0D45" w:rsidRDefault="00927F67" w:rsidP="005D664D">
      <w:pPr>
        <w:shd w:val="clear" w:color="auto" w:fill="FFFFFF"/>
        <w:spacing w:after="120"/>
        <w:jc w:val="both"/>
        <w:rPr>
          <w:b/>
          <w:bCs/>
          <w:i/>
          <w:iCs/>
        </w:rPr>
      </w:pPr>
      <w:bookmarkStart w:id="50" w:name="_Ref111210883"/>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15</w:t>
      </w:r>
      <w:r w:rsidRPr="004F0D45">
        <w:rPr>
          <w:b/>
          <w:bCs/>
          <w:i/>
          <w:iCs/>
        </w:rPr>
        <w:fldChar w:fldCharType="end"/>
      </w:r>
      <w:r w:rsidRPr="004F0D45">
        <w:rPr>
          <w:b/>
          <w:bCs/>
          <w:i/>
          <w:iCs/>
        </w:rPr>
        <w:t xml:space="preserve">: </w:t>
      </w:r>
      <w:bookmarkStart w:id="51" w:name="_Ref118363617"/>
      <w:bookmarkEnd w:id="50"/>
      <w:r w:rsidRPr="004F0D45">
        <w:rPr>
          <w:b/>
          <w:bCs/>
          <w:i/>
          <w:iCs/>
        </w:rPr>
        <w:t>Support allocation of fractional RBGs in Type-0 FDRA at DL subband boundaries</w:t>
      </w:r>
      <w:r w:rsidR="00716336" w:rsidRPr="004F0D45">
        <w:rPr>
          <w:b/>
          <w:bCs/>
          <w:i/>
          <w:iCs/>
        </w:rPr>
        <w:t>, i.e., part of the DL RBG inside the DL subband can be used</w:t>
      </w:r>
      <w:r w:rsidRPr="004F0D45">
        <w:rPr>
          <w:b/>
          <w:bCs/>
          <w:i/>
          <w:iCs/>
        </w:rPr>
        <w:t>.</w:t>
      </w:r>
      <w:bookmarkEnd w:id="51"/>
    </w:p>
    <w:p w14:paraId="50EB1B6E" w14:textId="3E54DE20" w:rsidR="00530949" w:rsidRPr="004F0D45" w:rsidRDefault="00530949" w:rsidP="005D664D">
      <w:pPr>
        <w:shd w:val="clear" w:color="auto" w:fill="FFFFFF"/>
        <w:spacing w:after="120"/>
        <w:jc w:val="both"/>
        <w:rPr>
          <w:b/>
          <w:bCs/>
          <w:i/>
          <w:iCs/>
        </w:rPr>
      </w:pPr>
      <w:bookmarkStart w:id="52" w:name="_Ref111210886"/>
      <w:r w:rsidRPr="004F0D45">
        <w:rPr>
          <w:b/>
          <w:bCs/>
          <w:i/>
          <w:iCs/>
        </w:rPr>
        <w:t>Proposal</w:t>
      </w:r>
      <w:r w:rsidR="00CA7488" w:rsidRPr="004F0D45">
        <w:rPr>
          <w:b/>
          <w:bCs/>
          <w:i/>
          <w:iCs/>
        </w:rPr>
        <w:t xml:space="preserve"> </w:t>
      </w:r>
      <w:r w:rsidR="00CA7488" w:rsidRPr="004F0D45">
        <w:rPr>
          <w:b/>
          <w:bCs/>
          <w:i/>
          <w:iCs/>
        </w:rPr>
        <w:fldChar w:fldCharType="begin"/>
      </w:r>
      <w:r w:rsidR="00CA7488" w:rsidRPr="004F0D45">
        <w:rPr>
          <w:b/>
          <w:bCs/>
          <w:i/>
          <w:iCs/>
        </w:rPr>
        <w:instrText xml:space="preserve"> SEQ Proposal \* ARABIC </w:instrText>
      </w:r>
      <w:r w:rsidR="00CA7488" w:rsidRPr="004F0D45">
        <w:rPr>
          <w:b/>
          <w:bCs/>
          <w:i/>
          <w:iCs/>
        </w:rPr>
        <w:fldChar w:fldCharType="separate"/>
      </w:r>
      <w:r w:rsidR="00F230AB" w:rsidRPr="004F0D45">
        <w:rPr>
          <w:b/>
          <w:bCs/>
          <w:i/>
          <w:iCs/>
          <w:noProof/>
        </w:rPr>
        <w:t>16</w:t>
      </w:r>
      <w:r w:rsidR="00CA7488" w:rsidRPr="004F0D45">
        <w:rPr>
          <w:b/>
          <w:bCs/>
          <w:i/>
          <w:iCs/>
        </w:rPr>
        <w:fldChar w:fldCharType="end"/>
      </w:r>
      <w:r w:rsidRPr="004F0D45">
        <w:rPr>
          <w:b/>
          <w:bCs/>
          <w:i/>
          <w:iCs/>
        </w:rPr>
        <w:t xml:space="preserve">: </w:t>
      </w:r>
      <w:bookmarkStart w:id="53" w:name="_Ref118363630"/>
      <w:r w:rsidRPr="004F0D45">
        <w:rPr>
          <w:b/>
          <w:bCs/>
          <w:i/>
          <w:iCs/>
        </w:rPr>
        <w:t>Support</w:t>
      </w:r>
      <w:r w:rsidR="0007531D" w:rsidRPr="004F0D45">
        <w:rPr>
          <w:b/>
          <w:bCs/>
          <w:i/>
          <w:iCs/>
        </w:rPr>
        <w:t xml:space="preserve"> </w:t>
      </w:r>
      <w:bookmarkStart w:id="54" w:name="_Hlk110501961"/>
      <w:r w:rsidRPr="004F0D45">
        <w:rPr>
          <w:b/>
          <w:bCs/>
          <w:i/>
          <w:iCs/>
        </w:rPr>
        <w:t>interleav</w:t>
      </w:r>
      <w:r w:rsidR="0007531D" w:rsidRPr="004F0D45">
        <w:rPr>
          <w:b/>
          <w:bCs/>
          <w:i/>
          <w:iCs/>
        </w:rPr>
        <w:t>ed mapping of odd and even VRBs</w:t>
      </w:r>
      <w:r w:rsidRPr="004F0D45">
        <w:rPr>
          <w:b/>
          <w:bCs/>
          <w:i/>
          <w:iCs/>
        </w:rPr>
        <w:t xml:space="preserve"> over physical RBGs </w:t>
      </w:r>
      <w:r w:rsidR="0007531D" w:rsidRPr="004F0D45">
        <w:rPr>
          <w:b/>
          <w:bCs/>
          <w:i/>
          <w:iCs/>
        </w:rPr>
        <w:t>allocated</w:t>
      </w:r>
      <w:r w:rsidRPr="004F0D45">
        <w:rPr>
          <w:b/>
          <w:bCs/>
          <w:i/>
          <w:iCs/>
        </w:rPr>
        <w:t xml:space="preserve"> using Type-0 FDRA.</w:t>
      </w:r>
      <w:bookmarkEnd w:id="52"/>
      <w:bookmarkEnd w:id="53"/>
      <w:bookmarkEnd w:id="54"/>
    </w:p>
    <w:p w14:paraId="55CD89A3" w14:textId="62C53DDD" w:rsidR="002F3D68" w:rsidRPr="004F0D45" w:rsidRDefault="000E6970" w:rsidP="004C243E">
      <w:pPr>
        <w:shd w:val="clear" w:color="auto" w:fill="FFFFFF"/>
        <w:spacing w:after="0"/>
        <w:jc w:val="both"/>
        <w:rPr>
          <w:b/>
          <w:bCs/>
          <w:i/>
          <w:iCs/>
          <w:color w:val="000000" w:themeColor="text1"/>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17</w:t>
      </w:r>
      <w:r w:rsidRPr="004F0D45">
        <w:rPr>
          <w:b/>
          <w:bCs/>
          <w:i/>
          <w:iCs/>
        </w:rPr>
        <w:fldChar w:fldCharType="end"/>
      </w:r>
      <w:r w:rsidRPr="004F0D45">
        <w:rPr>
          <w:b/>
          <w:bCs/>
          <w:i/>
          <w:iCs/>
        </w:rPr>
        <w:t xml:space="preserve">: </w:t>
      </w:r>
      <w:bookmarkStart w:id="55" w:name="_Ref134110576"/>
      <w:r w:rsidR="00927F67" w:rsidRPr="004F0D45">
        <w:rPr>
          <w:b/>
          <w:bCs/>
          <w:i/>
          <w:iCs/>
          <w:color w:val="000000" w:themeColor="text1"/>
        </w:rPr>
        <w:t>For Type-1 FDRA support RB allocation across non-contiguous DL subbands</w:t>
      </w:r>
      <w:bookmarkEnd w:id="55"/>
    </w:p>
    <w:p w14:paraId="1E309F4B" w14:textId="775D459B" w:rsidR="002F3D68" w:rsidRPr="004F0D45" w:rsidRDefault="002F3D68" w:rsidP="004C243E">
      <w:pPr>
        <w:pStyle w:val="ListParagraph"/>
        <w:numPr>
          <w:ilvl w:val="0"/>
          <w:numId w:val="23"/>
        </w:numPr>
        <w:shd w:val="clear" w:color="auto" w:fill="FFFFFF"/>
        <w:jc w:val="both"/>
        <w:rPr>
          <w:i/>
          <w:iCs/>
          <w:color w:val="000000" w:themeColor="text1"/>
          <w:sz w:val="20"/>
          <w:szCs w:val="20"/>
        </w:rPr>
      </w:pPr>
      <w:r w:rsidRPr="004F0D45">
        <w:rPr>
          <w:b/>
          <w:bCs/>
          <w:i/>
          <w:iCs/>
          <w:color w:val="000000" w:themeColor="text1"/>
          <w:sz w:val="20"/>
          <w:szCs w:val="20"/>
        </w:rPr>
        <w:t>For this case support renumbering/reindexing of VRBs (or PRBs), excluding RBs that fall outside the DL subbands.</w:t>
      </w:r>
      <w:r w:rsidRPr="004F0D45">
        <w:rPr>
          <w:i/>
          <w:iCs/>
          <w:color w:val="000000" w:themeColor="text1"/>
          <w:sz w:val="20"/>
          <w:szCs w:val="20"/>
        </w:rPr>
        <w:t xml:space="preserve">  </w:t>
      </w:r>
    </w:p>
    <w:p w14:paraId="068F86F3" w14:textId="1EE3545D" w:rsidR="00927F67" w:rsidRPr="004F0D45" w:rsidRDefault="000E6970" w:rsidP="00927F67">
      <w:pPr>
        <w:shd w:val="clear" w:color="auto" w:fill="FFFFFF"/>
        <w:spacing w:after="120"/>
        <w:jc w:val="both"/>
        <w:rPr>
          <w:b/>
          <w:bCs/>
          <w:color w:val="000000" w:themeColor="text1"/>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18</w:t>
      </w:r>
      <w:r w:rsidRPr="004F0D45">
        <w:rPr>
          <w:b/>
          <w:bCs/>
          <w:i/>
          <w:iCs/>
        </w:rPr>
        <w:fldChar w:fldCharType="end"/>
      </w:r>
      <w:r w:rsidRPr="004F0D45">
        <w:rPr>
          <w:b/>
          <w:bCs/>
          <w:i/>
          <w:iCs/>
        </w:rPr>
        <w:t xml:space="preserve">: </w:t>
      </w:r>
      <w:bookmarkStart w:id="56" w:name="_Ref134110607"/>
      <w:r w:rsidR="00927F67" w:rsidRPr="004F0D45">
        <w:rPr>
          <w:b/>
          <w:bCs/>
          <w:i/>
          <w:iCs/>
          <w:color w:val="000000" w:themeColor="text1"/>
        </w:rPr>
        <w:t>Allow reinterpretation</w:t>
      </w:r>
      <w:r w:rsidR="003A7F47" w:rsidRPr="004F0D45">
        <w:rPr>
          <w:b/>
          <w:bCs/>
          <w:i/>
          <w:iCs/>
          <w:color w:val="000000" w:themeColor="text1"/>
        </w:rPr>
        <w:t>/reuse</w:t>
      </w:r>
      <w:r w:rsidR="00927F67" w:rsidRPr="004F0D45">
        <w:rPr>
          <w:b/>
          <w:bCs/>
          <w:i/>
          <w:iCs/>
          <w:color w:val="000000" w:themeColor="text1"/>
        </w:rPr>
        <w:t xml:space="preserve"> of FDRA bit field in scheduling DCI to reflect the reindexing of </w:t>
      </w:r>
      <w:r w:rsidR="003A7F47" w:rsidRPr="004F0D45">
        <w:rPr>
          <w:b/>
          <w:bCs/>
          <w:i/>
          <w:iCs/>
          <w:color w:val="000000" w:themeColor="text1"/>
        </w:rPr>
        <w:t>V</w:t>
      </w:r>
      <w:r w:rsidR="00927F67" w:rsidRPr="004F0D45">
        <w:rPr>
          <w:b/>
          <w:bCs/>
          <w:i/>
          <w:iCs/>
          <w:color w:val="000000" w:themeColor="text1"/>
        </w:rPr>
        <w:t>RB</w:t>
      </w:r>
      <w:r w:rsidR="008852EF" w:rsidRPr="004F0D45">
        <w:rPr>
          <w:b/>
          <w:bCs/>
          <w:i/>
          <w:iCs/>
          <w:color w:val="000000" w:themeColor="text1"/>
        </w:rPr>
        <w:t>s/</w:t>
      </w:r>
      <w:r w:rsidR="003A7F47" w:rsidRPr="004F0D45">
        <w:rPr>
          <w:b/>
          <w:bCs/>
          <w:i/>
          <w:iCs/>
          <w:color w:val="000000" w:themeColor="text1"/>
        </w:rPr>
        <w:t>P</w:t>
      </w:r>
      <w:r w:rsidR="00927F67" w:rsidRPr="004F0D45">
        <w:rPr>
          <w:b/>
          <w:bCs/>
          <w:i/>
          <w:iCs/>
          <w:color w:val="000000" w:themeColor="text1"/>
        </w:rPr>
        <w:t>RBs</w:t>
      </w:r>
      <w:bookmarkEnd w:id="56"/>
      <w:r w:rsidR="00927F67" w:rsidRPr="004F0D45">
        <w:rPr>
          <w:b/>
          <w:bCs/>
          <w:color w:val="000000" w:themeColor="text1"/>
        </w:rPr>
        <w:t xml:space="preserve">        </w:t>
      </w:r>
    </w:p>
    <w:p w14:paraId="0E13D60F" w14:textId="0966D36B" w:rsidR="00927F67" w:rsidRPr="004F0D45" w:rsidRDefault="004D6DB2" w:rsidP="004D6DB2">
      <w:pPr>
        <w:shd w:val="clear" w:color="auto" w:fill="FFFFFF"/>
        <w:spacing w:after="120"/>
        <w:jc w:val="center"/>
        <w:rPr>
          <w:b/>
          <w:bCs/>
          <w:i/>
          <w:iCs/>
        </w:rPr>
      </w:pPr>
      <w:r w:rsidRPr="004F0D45">
        <w:rPr>
          <w:noProof/>
        </w:rPr>
        <w:lastRenderedPageBreak/>
        <w:drawing>
          <wp:inline distT="0" distB="0" distL="0" distR="0" wp14:anchorId="48C95BA1" wp14:editId="6FCD0C52">
            <wp:extent cx="2330450" cy="2472236"/>
            <wp:effectExtent l="0" t="0" r="0" b="4445"/>
            <wp:docPr id="50" name="Picture 49" descr="A screenshot of a computer screen&#10;&#10;Description automatically generated with low confidence">
              <a:extLst xmlns:a="http://schemas.openxmlformats.org/drawingml/2006/main">
                <a:ext uri="{FF2B5EF4-FFF2-40B4-BE49-F238E27FC236}">
                  <a16:creationId xmlns:a16="http://schemas.microsoft.com/office/drawing/2014/main" id="{1B61D54E-F452-A34F-BDD0-7801E852A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9" descr="A screenshot of a computer screen&#10;&#10;Description automatically generated with low confidence">
                      <a:extLst>
                        <a:ext uri="{FF2B5EF4-FFF2-40B4-BE49-F238E27FC236}">
                          <a16:creationId xmlns:a16="http://schemas.microsoft.com/office/drawing/2014/main" id="{1B61D54E-F452-A34F-BDD0-7801E852A1C9}"/>
                        </a:ext>
                      </a:extLst>
                    </pic:cNvPr>
                    <pic:cNvPicPr>
                      <a:picLocks noChangeAspect="1"/>
                    </pic:cNvPicPr>
                  </pic:nvPicPr>
                  <pic:blipFill>
                    <a:blip r:embed="rId19"/>
                    <a:stretch>
                      <a:fillRect/>
                    </a:stretch>
                  </pic:blipFill>
                  <pic:spPr>
                    <a:xfrm>
                      <a:off x="0" y="0"/>
                      <a:ext cx="2343318" cy="2485887"/>
                    </a:xfrm>
                    <a:prstGeom prst="rect">
                      <a:avLst/>
                    </a:prstGeom>
                  </pic:spPr>
                </pic:pic>
              </a:graphicData>
            </a:graphic>
          </wp:inline>
        </w:drawing>
      </w:r>
    </w:p>
    <w:p w14:paraId="523E1107" w14:textId="78B320AF" w:rsidR="002B609D" w:rsidRPr="004F0D45" w:rsidRDefault="004D6DB2" w:rsidP="00EA2D5D">
      <w:pPr>
        <w:jc w:val="center"/>
      </w:pPr>
      <w:bookmarkStart w:id="57" w:name="_Ref134107808"/>
      <w:r w:rsidRPr="004F0D45">
        <w:t xml:space="preserve">Figure </w:t>
      </w:r>
      <w:r w:rsidRPr="004F0D45">
        <w:fldChar w:fldCharType="begin"/>
      </w:r>
      <w:r w:rsidRPr="004F0D45">
        <w:instrText xml:space="preserve"> SEQ Figure \* ARABIC </w:instrText>
      </w:r>
      <w:r w:rsidRPr="004F0D45">
        <w:fldChar w:fldCharType="separate"/>
      </w:r>
      <w:r w:rsidR="00F230AB" w:rsidRPr="004F0D45">
        <w:rPr>
          <w:noProof/>
        </w:rPr>
        <w:t>7</w:t>
      </w:r>
      <w:r w:rsidRPr="004F0D45">
        <w:rPr>
          <w:noProof/>
        </w:rPr>
        <w:fldChar w:fldCharType="end"/>
      </w:r>
      <w:bookmarkEnd w:id="57"/>
      <w:r w:rsidRPr="004F0D45">
        <w:t>: PDSCH FDRA Type-1 across non-contiguous DL-SBs with VRB/PRB reindexing.</w:t>
      </w:r>
    </w:p>
    <w:p w14:paraId="52F6C7BC" w14:textId="5D96F6A1" w:rsidR="00E27205" w:rsidRPr="004F0D45" w:rsidRDefault="00E27205" w:rsidP="007964C1">
      <w:pPr>
        <w:pStyle w:val="Heading4"/>
        <w:spacing w:after="0"/>
      </w:pPr>
      <w:r w:rsidRPr="004F0D45">
        <w:t>PDSCH Precoding</w:t>
      </w:r>
    </w:p>
    <w:p w14:paraId="295070C9" w14:textId="16D2B706" w:rsidR="00C42C80" w:rsidRPr="004F0D45" w:rsidRDefault="00C42C80" w:rsidP="007964C1">
      <w:pPr>
        <w:spacing w:after="0"/>
        <w:jc w:val="both"/>
      </w:pPr>
      <w:r w:rsidRPr="004F0D45">
        <w:t xml:space="preserve">In previous RAN1 meetings it was agreed to study PRG bundling and wideband precoder in the case of non-contiguous downlink subbands. </w:t>
      </w:r>
    </w:p>
    <w:tbl>
      <w:tblPr>
        <w:tblStyle w:val="TableGrid"/>
        <w:tblW w:w="0" w:type="auto"/>
        <w:tblLook w:val="04A0" w:firstRow="1" w:lastRow="0" w:firstColumn="1" w:lastColumn="0" w:noHBand="0" w:noVBand="1"/>
      </w:tblPr>
      <w:tblGrid>
        <w:gridCol w:w="9629"/>
      </w:tblGrid>
      <w:tr w:rsidR="00A87598" w:rsidRPr="004F0D45" w14:paraId="0904C358" w14:textId="77777777" w:rsidTr="0078608C">
        <w:tc>
          <w:tcPr>
            <w:tcW w:w="9629" w:type="dxa"/>
          </w:tcPr>
          <w:p w14:paraId="2162D3D6" w14:textId="77777777" w:rsidR="00C42C80" w:rsidRPr="004F0D45" w:rsidRDefault="00C42C80" w:rsidP="00107D41">
            <w:pPr>
              <w:spacing w:after="0"/>
              <w:contextualSpacing/>
              <w:jc w:val="both"/>
              <w:rPr>
                <w:rFonts w:ascii="Times" w:eastAsia="Times New Roman" w:hAnsi="Times" w:cs="Times"/>
                <w:b/>
                <w:bCs/>
                <w:lang w:eastAsia="en-GB"/>
              </w:rPr>
            </w:pPr>
            <w:bookmarkStart w:id="58" w:name="_Hlk131449343"/>
            <w:r w:rsidRPr="004F0D45">
              <w:rPr>
                <w:rFonts w:ascii="Times" w:eastAsia="Times New Roman" w:hAnsi="Times" w:cs="Times"/>
                <w:b/>
                <w:bCs/>
                <w:lang w:eastAsia="en-GB"/>
              </w:rPr>
              <w:t>Agreement RAN1#112</w:t>
            </w:r>
          </w:p>
          <w:p w14:paraId="67658551" w14:textId="77777777" w:rsidR="00C42C80" w:rsidRPr="004F0D45" w:rsidRDefault="00C42C80" w:rsidP="00107D41">
            <w:pPr>
              <w:spacing w:after="0"/>
              <w:contextualSpacing/>
              <w:jc w:val="both"/>
              <w:rPr>
                <w:rFonts w:eastAsia="Malgun Gothic" w:cs="Times"/>
                <w:lang w:eastAsia="zh-CN"/>
              </w:rPr>
            </w:pPr>
            <w:r w:rsidRPr="004F0D45">
              <w:rPr>
                <w:rFonts w:eastAsia="Malgun Gothic" w:cs="Times"/>
                <w:lang w:eastAsia="zh-CN"/>
              </w:rPr>
              <w:t>For SBFD-aware UEs, study at least the following issues for PDSCH:</w:t>
            </w:r>
          </w:p>
          <w:p w14:paraId="166F0AEA" w14:textId="77777777" w:rsidR="00A75924" w:rsidRPr="004F0D45" w:rsidRDefault="00C42C80" w:rsidP="00107D41">
            <w:pPr>
              <w:pStyle w:val="2"/>
              <w:numPr>
                <w:ilvl w:val="1"/>
                <w:numId w:val="15"/>
              </w:numPr>
              <w:suppressAutoHyphens w:val="0"/>
              <w:spacing w:after="0"/>
              <w:contextualSpacing/>
              <w:jc w:val="both"/>
              <w:rPr>
                <w:rFonts w:ascii="Times" w:eastAsia="Malgun Gothic" w:hAnsi="Times" w:cs="Times"/>
                <w:lang w:eastAsia="zh-CN"/>
              </w:rPr>
            </w:pPr>
            <w:r w:rsidRPr="004F0D45">
              <w:rPr>
                <w:rFonts w:ascii="Times" w:eastAsia="Malgun Gothic" w:hAnsi="Times" w:cs="Times"/>
                <w:lang w:eastAsia="zh-CN"/>
              </w:rPr>
              <w:t xml:space="preserve">PRG(s) with size of 2 and 4 that overlaps with subband boundary </w:t>
            </w:r>
          </w:p>
          <w:p w14:paraId="58146490" w14:textId="288F2444" w:rsidR="00C42C80" w:rsidRPr="004F0D45" w:rsidRDefault="00C42C80" w:rsidP="00107D41">
            <w:pPr>
              <w:pStyle w:val="2"/>
              <w:numPr>
                <w:ilvl w:val="1"/>
                <w:numId w:val="15"/>
              </w:numPr>
              <w:suppressAutoHyphens w:val="0"/>
              <w:spacing w:after="0"/>
              <w:contextualSpacing/>
              <w:jc w:val="both"/>
              <w:rPr>
                <w:rFonts w:ascii="Times" w:eastAsia="Malgun Gothic" w:hAnsi="Times" w:cs="Times"/>
                <w:lang w:eastAsia="zh-CN"/>
              </w:rPr>
            </w:pPr>
            <w:r w:rsidRPr="004F0D45">
              <w:rPr>
                <w:rFonts w:ascii="Times" w:eastAsia="Malgun Gothic" w:hAnsi="Times" w:cs="Times"/>
              </w:rPr>
              <w:t>Wideband precoder in case of non-contiguous DL subbands</w:t>
            </w:r>
          </w:p>
          <w:p w14:paraId="746172F3" w14:textId="77777777" w:rsidR="00C42C80" w:rsidRPr="004F0D45" w:rsidRDefault="00C42C80" w:rsidP="00107D41">
            <w:pPr>
              <w:spacing w:after="0"/>
              <w:contextualSpacing/>
              <w:jc w:val="both"/>
              <w:rPr>
                <w:rFonts w:ascii="Times" w:eastAsia="Times New Roman" w:hAnsi="Times" w:cs="Times"/>
                <w:b/>
                <w:bCs/>
                <w:lang w:eastAsia="en-GB"/>
              </w:rPr>
            </w:pPr>
          </w:p>
          <w:p w14:paraId="581B6D77" w14:textId="36182A1D" w:rsidR="003327F8" w:rsidRPr="004F0D45" w:rsidRDefault="003327F8" w:rsidP="00107D41">
            <w:pPr>
              <w:spacing w:after="0"/>
              <w:contextualSpacing/>
              <w:jc w:val="both"/>
              <w:rPr>
                <w:rFonts w:ascii="Times" w:eastAsia="Times New Roman" w:hAnsi="Times" w:cs="Times"/>
                <w:b/>
                <w:bCs/>
                <w:lang w:eastAsia="en-GB"/>
              </w:rPr>
            </w:pPr>
            <w:r w:rsidRPr="004F0D45">
              <w:rPr>
                <w:rFonts w:ascii="Times" w:eastAsia="Times New Roman" w:hAnsi="Times" w:cs="Times"/>
                <w:b/>
                <w:bCs/>
                <w:lang w:eastAsia="en-GB"/>
              </w:rPr>
              <w:t>Agreement RAN1#112bis-e</w:t>
            </w:r>
          </w:p>
          <w:p w14:paraId="4B2D93D0" w14:textId="77777777" w:rsidR="003327F8" w:rsidRPr="004F0D45" w:rsidRDefault="003327F8" w:rsidP="00107D41">
            <w:pPr>
              <w:tabs>
                <w:tab w:val="left" w:pos="0"/>
              </w:tabs>
              <w:spacing w:after="0"/>
              <w:rPr>
                <w:rFonts w:eastAsia="Malgun Gothic" w:cs="Times"/>
                <w:lang w:val="en-US" w:eastAsia="x-none"/>
              </w:rPr>
            </w:pPr>
            <w:r w:rsidRPr="004F0D45">
              <w:rPr>
                <w:rFonts w:eastAsia="Malgun Gothic" w:cs="Times"/>
                <w:lang w:val="en-US" w:eastAsia="x-none"/>
              </w:rPr>
              <w:t>If PRG is determined as wideband, study the following two options:</w:t>
            </w:r>
          </w:p>
          <w:p w14:paraId="2E8C5F84" w14:textId="77777777" w:rsidR="003327F8" w:rsidRPr="004F0D45" w:rsidRDefault="003327F8" w:rsidP="00107D41">
            <w:pPr>
              <w:numPr>
                <w:ilvl w:val="0"/>
                <w:numId w:val="18"/>
              </w:numPr>
              <w:suppressAutoHyphens/>
              <w:overflowPunct/>
              <w:autoSpaceDE/>
              <w:autoSpaceDN/>
              <w:adjustRightInd/>
              <w:spacing w:after="0"/>
              <w:ind w:left="709" w:hanging="283"/>
              <w:jc w:val="both"/>
              <w:rPr>
                <w:rFonts w:eastAsia="Malgun Gothic" w:cs="Times"/>
                <w:lang w:val="en-US" w:eastAsia="zh-CN"/>
              </w:rPr>
            </w:pPr>
            <w:r w:rsidRPr="004F0D45">
              <w:rPr>
                <w:rFonts w:eastAsia="Malgun Gothic" w:cs="Times"/>
                <w:lang w:val="en-US" w:eastAsia="zh-CN"/>
              </w:rPr>
              <w:t>Option 1: non-contiguous frequency resources across two DL subbands but contiguous frequency resource within each DL subband can be allocated</w:t>
            </w:r>
          </w:p>
          <w:p w14:paraId="5A391355" w14:textId="77777777" w:rsidR="003327F8" w:rsidRPr="004F0D45" w:rsidRDefault="003327F8" w:rsidP="00107D41">
            <w:pPr>
              <w:numPr>
                <w:ilvl w:val="2"/>
                <w:numId w:val="19"/>
              </w:numPr>
              <w:suppressAutoHyphens/>
              <w:overflowPunct/>
              <w:autoSpaceDE/>
              <w:autoSpaceDN/>
              <w:adjustRightInd/>
              <w:spacing w:after="0"/>
              <w:ind w:hanging="267"/>
              <w:jc w:val="both"/>
              <w:rPr>
                <w:rFonts w:eastAsia="Malgun Gothic" w:cs="Times"/>
                <w:lang w:eastAsia="x-none"/>
              </w:rPr>
            </w:pPr>
            <w:r w:rsidRPr="004F0D45">
              <w:rPr>
                <w:rFonts w:eastAsia="Malgun Gothic" w:cs="Times"/>
                <w:lang w:eastAsia="x-none"/>
              </w:rPr>
              <w:t>FFS: Precoding assumption within and across the two DL subbands</w:t>
            </w:r>
          </w:p>
          <w:p w14:paraId="5AA78F8D" w14:textId="77777777" w:rsidR="003327F8" w:rsidRPr="004F0D45" w:rsidRDefault="003327F8" w:rsidP="00107D41">
            <w:pPr>
              <w:numPr>
                <w:ilvl w:val="0"/>
                <w:numId w:val="18"/>
              </w:numPr>
              <w:suppressAutoHyphens/>
              <w:overflowPunct/>
              <w:autoSpaceDE/>
              <w:autoSpaceDN/>
              <w:adjustRightInd/>
              <w:spacing w:after="0"/>
              <w:ind w:left="709" w:hanging="283"/>
              <w:jc w:val="both"/>
              <w:rPr>
                <w:rFonts w:eastAsia="Malgun Gothic" w:cs="Times"/>
                <w:lang w:val="en-US" w:eastAsia="zh-CN"/>
              </w:rPr>
            </w:pPr>
            <w:r w:rsidRPr="004F0D45">
              <w:rPr>
                <w:rFonts w:eastAsia="Malgun Gothic" w:cs="Times"/>
                <w:lang w:val="en-US" w:eastAsia="zh-CN"/>
              </w:rPr>
              <w:t>Option 2: non-contiguous frequency resources across two DL subbands cannot be allocated</w:t>
            </w:r>
          </w:p>
          <w:p w14:paraId="6478CAB1" w14:textId="11B9FE1C" w:rsidR="003327F8" w:rsidRPr="004F0D45" w:rsidRDefault="003327F8" w:rsidP="00107D41">
            <w:pPr>
              <w:spacing w:after="0"/>
              <w:rPr>
                <w:rFonts w:cs="Times"/>
                <w:lang w:val="en-US" w:eastAsia="ko-KR"/>
              </w:rPr>
            </w:pPr>
            <w:r w:rsidRPr="004F0D45">
              <w:rPr>
                <w:rFonts w:cs="Times"/>
                <w:lang w:val="en-US" w:eastAsia="ko-KR"/>
              </w:rPr>
              <w:t>The study should include the impact on UE complexity</w:t>
            </w:r>
          </w:p>
        </w:tc>
      </w:tr>
      <w:bookmarkEnd w:id="58"/>
    </w:tbl>
    <w:p w14:paraId="3A322A64" w14:textId="77777777" w:rsidR="00A87598" w:rsidRPr="004F0D45" w:rsidRDefault="00A87598" w:rsidP="00716336">
      <w:pPr>
        <w:spacing w:after="0"/>
        <w:contextualSpacing/>
        <w:jc w:val="both"/>
      </w:pPr>
    </w:p>
    <w:p w14:paraId="37EE1BF1" w14:textId="5AD5F0B2" w:rsidR="00EF4862" w:rsidRPr="004F0D45" w:rsidRDefault="00A87598" w:rsidP="00716336">
      <w:pPr>
        <w:spacing w:after="0"/>
        <w:contextualSpacing/>
        <w:jc w:val="both"/>
        <w:rPr>
          <w:color w:val="000000" w:themeColor="text1"/>
        </w:rPr>
      </w:pPr>
      <w:r w:rsidRPr="004F0D45">
        <w:t xml:space="preserve">Precoding is applied to PDSCH transmission using either static or dynamic PRG bundling, with bundle size of 2 RBs, 4 RBs or wideband. In the case of PRGs with size 2 and 4 some resource overlap/fragmentation may occur at the DL/UL subband edge(s). Similar to the RBG case for Type-0 FDRA, </w:t>
      </w:r>
      <w:r w:rsidRPr="004F0D45">
        <w:rPr>
          <w:color w:val="000000" w:themeColor="text1"/>
        </w:rPr>
        <w:t xml:space="preserve">the UE should support fractional PRGs at DL/UL subband boundaries, where RBs within the DL subband can be considered as valid PRG allocation. </w:t>
      </w:r>
    </w:p>
    <w:p w14:paraId="2DB68CD7" w14:textId="77777777" w:rsidR="003327F8" w:rsidRPr="004F0D45" w:rsidRDefault="003327F8" w:rsidP="00716336">
      <w:pPr>
        <w:spacing w:after="0"/>
        <w:contextualSpacing/>
        <w:jc w:val="both"/>
        <w:rPr>
          <w:color w:val="000000" w:themeColor="text1"/>
        </w:rPr>
      </w:pPr>
    </w:p>
    <w:p w14:paraId="2E477B57" w14:textId="104B2426" w:rsidR="00A87598" w:rsidRPr="004F0D45" w:rsidRDefault="00A87598" w:rsidP="00716336">
      <w:pPr>
        <w:spacing w:after="0"/>
        <w:contextualSpacing/>
        <w:jc w:val="both"/>
      </w:pPr>
      <w:r w:rsidRPr="004F0D45">
        <w:rPr>
          <w:color w:val="000000" w:themeColor="text1"/>
        </w:rPr>
        <w:t xml:space="preserve">In the current specification wideband precoding is configured only for contiguous RB allocations. Therefore, wideband precoding cannot be applied when RB allocation is across non-contiguous </w:t>
      </w:r>
      <w:r w:rsidR="002F6917" w:rsidRPr="004F0D45">
        <w:rPr>
          <w:color w:val="000000" w:themeColor="text1"/>
        </w:rPr>
        <w:t>DL</w:t>
      </w:r>
      <w:r w:rsidRPr="004F0D45">
        <w:rPr>
          <w:color w:val="000000" w:themeColor="text1"/>
        </w:rPr>
        <w:t xml:space="preserve"> subbands. Moreover, for selecting wideband precoding in </w:t>
      </w:r>
      <w:r w:rsidRPr="004F0D45">
        <w:t xml:space="preserve">dynamic PRG bundling the allocated RBs should occupy more than half the BWP. This threshold may not be met when RB allocation is across non-contiguous DL subbands. </w:t>
      </w:r>
    </w:p>
    <w:p w14:paraId="4B20FAC5" w14:textId="7CB75B98" w:rsidR="00EF4862" w:rsidRPr="004F0D45" w:rsidRDefault="00EF4862" w:rsidP="00716336">
      <w:pPr>
        <w:spacing w:after="0"/>
        <w:contextualSpacing/>
        <w:jc w:val="both"/>
        <w:rPr>
          <w:color w:val="000000" w:themeColor="text1"/>
        </w:rPr>
      </w:pPr>
    </w:p>
    <w:p w14:paraId="2141DD9E" w14:textId="0283D0A1" w:rsidR="00601366" w:rsidRPr="004F0D45" w:rsidRDefault="00601366" w:rsidP="00716336">
      <w:pPr>
        <w:spacing w:after="0"/>
        <w:contextualSpacing/>
        <w:jc w:val="both"/>
      </w:pPr>
      <w:r w:rsidRPr="004F0D45">
        <w:t>Option 1 of the above agreement allows a new interpretation for wideband PRG to cover non-contiguous RB allocation across multiple DL subbands.</w:t>
      </w:r>
      <w:r w:rsidR="0046026E" w:rsidRPr="004F0D45">
        <w:t xml:space="preserve"> </w:t>
      </w:r>
      <w:r w:rsidR="007562B5" w:rsidRPr="004F0D45">
        <w:t>We prefer t</w:t>
      </w:r>
      <w:r w:rsidR="0046026E" w:rsidRPr="004F0D45">
        <w:t>his option</w:t>
      </w:r>
      <w:r w:rsidR="007562B5" w:rsidRPr="004F0D45">
        <w:t xml:space="preserve"> since</w:t>
      </w:r>
      <w:r w:rsidR="0046026E" w:rsidRPr="004F0D45">
        <w:t xml:space="preserve"> it allows the gNB to flexibly allocate resources across the two DL subbands.</w:t>
      </w:r>
      <w:r w:rsidRPr="004F0D45">
        <w:t xml:space="preserve"> In this case, a new threshold must be defined for the minimum RB size needed to select wideband precoding for dynamic PRG bundling. For instance</w:t>
      </w:r>
      <w:r w:rsidR="00EB55A9" w:rsidRPr="004F0D45">
        <w:t>,</w:t>
      </w:r>
      <w:r w:rsidRPr="004F0D45">
        <w:t xml:space="preserve"> wideband PRG can be selected if </w:t>
      </w:r>
      <w:r w:rsidR="00EB55A9" w:rsidRPr="004F0D45">
        <w:t>(</w:t>
      </w:r>
      <w:proofErr w:type="spellStart"/>
      <w:r w:rsidR="00EB55A9" w:rsidRPr="004F0D45">
        <w:t>i</w:t>
      </w:r>
      <w:proofErr w:type="spellEnd"/>
      <w:r w:rsidR="00EB55A9" w:rsidRPr="004F0D45">
        <w:t>) the RB allocation within each DL subband exceeds half the DL subband size (ii) the combined RB allocation across the non-contiguous DL subbands is equal to the size of a DL subband.</w:t>
      </w:r>
      <w:r w:rsidR="00F93D1F" w:rsidRPr="004F0D45">
        <w:t xml:space="preserve"> </w:t>
      </w:r>
    </w:p>
    <w:p w14:paraId="2661541F" w14:textId="7EE4EC3E" w:rsidR="00601366" w:rsidRPr="004F0D45" w:rsidRDefault="00601366" w:rsidP="00716336">
      <w:pPr>
        <w:spacing w:after="0"/>
        <w:contextualSpacing/>
        <w:jc w:val="both"/>
      </w:pPr>
    </w:p>
    <w:p w14:paraId="675E2D7A" w14:textId="230395D6" w:rsidR="007562B5" w:rsidRPr="004F0D45" w:rsidRDefault="00601366" w:rsidP="00716336">
      <w:pPr>
        <w:spacing w:after="0"/>
        <w:contextualSpacing/>
        <w:jc w:val="both"/>
      </w:pPr>
      <w:r w:rsidRPr="004F0D45">
        <w:t>Option 2 follows the current specification by not allowing non-contiguous RB allocation across two DL subbands</w:t>
      </w:r>
      <w:r w:rsidR="0080710B" w:rsidRPr="004F0D45">
        <w:t>, which limits the flexibility in resource allocation</w:t>
      </w:r>
      <w:r w:rsidRPr="004F0D45">
        <w:t xml:space="preserve">. </w:t>
      </w:r>
      <w:r w:rsidR="00F93D1F" w:rsidRPr="004F0D45">
        <w:t xml:space="preserve">Similar to Option 1, a new threshold must be defined for the minimum RB size needed to select wideband precoding for dynamic PRG bundling since the number of RBs available for wideband allocation is reduced. </w:t>
      </w:r>
      <w:r w:rsidRPr="004F0D45">
        <w:t>For instance, wideband PRG can be selected if the allocated RBs (</w:t>
      </w:r>
      <w:proofErr w:type="spellStart"/>
      <w:r w:rsidRPr="004F0D45">
        <w:t>i</w:t>
      </w:r>
      <w:proofErr w:type="spellEnd"/>
      <w:r w:rsidRPr="004F0D45">
        <w:t>) exceed half of the DL subband size (ii) equal to the DL subband size.</w:t>
      </w:r>
    </w:p>
    <w:p w14:paraId="444A9809" w14:textId="77777777" w:rsidR="00601366" w:rsidRPr="004F0D45" w:rsidRDefault="00601366" w:rsidP="00F82E90">
      <w:pPr>
        <w:spacing w:after="0"/>
        <w:contextualSpacing/>
        <w:jc w:val="both"/>
        <w:rPr>
          <w:color w:val="000000" w:themeColor="text1"/>
        </w:rPr>
      </w:pPr>
    </w:p>
    <w:p w14:paraId="587F83F5" w14:textId="0830445C" w:rsidR="00775852" w:rsidRPr="004F0D45" w:rsidRDefault="00775852" w:rsidP="00A34E96">
      <w:pPr>
        <w:shd w:val="clear" w:color="auto" w:fill="FFFFFF"/>
        <w:spacing w:after="60"/>
        <w:jc w:val="both"/>
        <w:rPr>
          <w:b/>
          <w:bCs/>
          <w:i/>
          <w:iCs/>
        </w:rPr>
      </w:pPr>
      <w:bookmarkStart w:id="59" w:name="_Ref131537239"/>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F230AB" w:rsidRPr="004F0D45">
        <w:rPr>
          <w:b/>
          <w:bCs/>
          <w:i/>
          <w:iCs/>
          <w:noProof/>
        </w:rPr>
        <w:t>9</w:t>
      </w:r>
      <w:r w:rsidRPr="004F0D45">
        <w:rPr>
          <w:b/>
          <w:bCs/>
          <w:i/>
          <w:iCs/>
        </w:rPr>
        <w:fldChar w:fldCharType="end"/>
      </w:r>
      <w:r w:rsidRPr="004F0D45">
        <w:rPr>
          <w:b/>
          <w:bCs/>
          <w:i/>
          <w:iCs/>
        </w:rPr>
        <w:t xml:space="preserve">: </w:t>
      </w:r>
      <w:bookmarkStart w:id="60" w:name="_Ref131674288"/>
      <w:r w:rsidRPr="004F0D45">
        <w:rPr>
          <w:b/>
          <w:bCs/>
          <w:i/>
          <w:iCs/>
        </w:rPr>
        <w:t>When using PRG bundling for precoding in PDSCH, some RBs within a PRG may be unavailable due to partial</w:t>
      </w:r>
      <w:r w:rsidR="005625FE" w:rsidRPr="004F0D45">
        <w:rPr>
          <w:b/>
          <w:bCs/>
          <w:i/>
          <w:iCs/>
        </w:rPr>
        <w:t xml:space="preserve"> overlap</w:t>
      </w:r>
      <w:r w:rsidRPr="004F0D45">
        <w:rPr>
          <w:b/>
          <w:bCs/>
          <w:i/>
          <w:iCs/>
        </w:rPr>
        <w:t xml:space="preserve"> with UL-subband (and/or any guard band) leading to resource fragmentation.</w:t>
      </w:r>
      <w:bookmarkEnd w:id="59"/>
      <w:bookmarkEnd w:id="60"/>
    </w:p>
    <w:p w14:paraId="6F092F69" w14:textId="668151A7" w:rsidR="00775852" w:rsidRPr="004F0D45" w:rsidRDefault="00775852" w:rsidP="00A34E96">
      <w:pPr>
        <w:shd w:val="clear" w:color="auto" w:fill="FFFFFF"/>
        <w:spacing w:after="60"/>
        <w:jc w:val="both"/>
        <w:rPr>
          <w:b/>
          <w:bCs/>
          <w:i/>
          <w:iCs/>
        </w:rPr>
      </w:pPr>
      <w:r w:rsidRPr="004F0D45">
        <w:rPr>
          <w:b/>
          <w:bCs/>
          <w:i/>
          <w:iCs/>
        </w:rPr>
        <w:lastRenderedPageBreak/>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F230AB" w:rsidRPr="004F0D45">
        <w:rPr>
          <w:b/>
          <w:bCs/>
          <w:i/>
          <w:iCs/>
          <w:noProof/>
        </w:rPr>
        <w:t>10</w:t>
      </w:r>
      <w:r w:rsidRPr="004F0D45">
        <w:rPr>
          <w:b/>
          <w:bCs/>
          <w:i/>
          <w:iCs/>
        </w:rPr>
        <w:fldChar w:fldCharType="end"/>
      </w:r>
      <w:r w:rsidRPr="004F0D45">
        <w:rPr>
          <w:b/>
          <w:bCs/>
          <w:i/>
          <w:iCs/>
        </w:rPr>
        <w:t xml:space="preserve">: </w:t>
      </w:r>
      <w:bookmarkStart w:id="61" w:name="_Ref131537289"/>
      <w:r w:rsidRPr="004F0D45">
        <w:rPr>
          <w:b/>
          <w:bCs/>
          <w:i/>
          <w:iCs/>
        </w:rPr>
        <w:t>Wideband precoding cannot be applied when PDSCH allocation is across non-contiguous DL subbands.</w:t>
      </w:r>
      <w:bookmarkEnd w:id="61"/>
      <w:r w:rsidRPr="004F0D45">
        <w:rPr>
          <w:b/>
          <w:bCs/>
          <w:i/>
          <w:iCs/>
        </w:rPr>
        <w:t xml:space="preserve"> </w:t>
      </w:r>
    </w:p>
    <w:p w14:paraId="1821C849" w14:textId="12F11837" w:rsidR="007562B5" w:rsidRPr="004F0D45" w:rsidRDefault="007562B5" w:rsidP="00A34E96">
      <w:pPr>
        <w:shd w:val="clear" w:color="auto" w:fill="FFFFFF"/>
        <w:spacing w:after="60"/>
        <w:jc w:val="both"/>
        <w:rPr>
          <w:b/>
          <w:bCs/>
          <w:i/>
          <w:iCs/>
        </w:rPr>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F230AB" w:rsidRPr="004F0D45">
        <w:rPr>
          <w:b/>
          <w:bCs/>
          <w:i/>
          <w:iCs/>
          <w:noProof/>
        </w:rPr>
        <w:t>11</w:t>
      </w:r>
      <w:r w:rsidRPr="004F0D45">
        <w:rPr>
          <w:b/>
          <w:bCs/>
          <w:i/>
          <w:iCs/>
        </w:rPr>
        <w:fldChar w:fldCharType="end"/>
      </w:r>
      <w:r w:rsidRPr="004F0D45">
        <w:rPr>
          <w:b/>
          <w:bCs/>
          <w:i/>
          <w:iCs/>
        </w:rPr>
        <w:t xml:space="preserve">: </w:t>
      </w:r>
      <w:bookmarkStart w:id="62" w:name="_Ref134108506"/>
      <w:r w:rsidRPr="004F0D45">
        <w:rPr>
          <w:b/>
          <w:bCs/>
          <w:i/>
          <w:iCs/>
        </w:rPr>
        <w:t>A new threshold must be defined for the minimum RB size needed to select wideband precoding for dynamic PRG bundling.</w:t>
      </w:r>
      <w:bookmarkEnd w:id="62"/>
      <w:r w:rsidRPr="004F0D45">
        <w:rPr>
          <w:b/>
          <w:bCs/>
          <w:i/>
          <w:iCs/>
        </w:rPr>
        <w:t xml:space="preserve"> </w:t>
      </w:r>
    </w:p>
    <w:p w14:paraId="22493995" w14:textId="28ABAAC2" w:rsidR="00775852" w:rsidRPr="004F0D45" w:rsidRDefault="00775852" w:rsidP="00EE7E02">
      <w:pPr>
        <w:shd w:val="clear" w:color="auto" w:fill="FFFFFF"/>
        <w:spacing w:after="120"/>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19</w:t>
      </w:r>
      <w:r w:rsidRPr="004F0D45">
        <w:rPr>
          <w:b/>
          <w:bCs/>
          <w:i/>
          <w:iCs/>
        </w:rPr>
        <w:fldChar w:fldCharType="end"/>
      </w:r>
      <w:r w:rsidRPr="004F0D45">
        <w:rPr>
          <w:b/>
          <w:bCs/>
          <w:i/>
          <w:iCs/>
        </w:rPr>
        <w:t xml:space="preserve">: </w:t>
      </w:r>
      <w:bookmarkStart w:id="63" w:name="_Ref131537623"/>
      <w:r w:rsidRPr="004F0D45">
        <w:rPr>
          <w:b/>
          <w:bCs/>
          <w:i/>
          <w:iCs/>
        </w:rPr>
        <w:t>Support allocation of fractional PRGs at DL subband boundaries</w:t>
      </w:r>
      <w:r w:rsidR="000F6DBE" w:rsidRPr="004F0D45">
        <w:rPr>
          <w:b/>
          <w:bCs/>
          <w:i/>
          <w:iCs/>
        </w:rPr>
        <w:t xml:space="preserve"> when using PRG bundling for PDSCH</w:t>
      </w:r>
      <w:bookmarkEnd w:id="63"/>
      <w:r w:rsidR="00EE7E02" w:rsidRPr="004F0D45">
        <w:rPr>
          <w:b/>
          <w:bCs/>
          <w:i/>
          <w:iCs/>
        </w:rPr>
        <w:t>,</w:t>
      </w:r>
      <w:r w:rsidR="00A24FA9" w:rsidRPr="004F0D45">
        <w:rPr>
          <w:b/>
          <w:bCs/>
          <w:i/>
          <w:iCs/>
        </w:rPr>
        <w:t xml:space="preserve"> i.e.,</w:t>
      </w:r>
      <w:r w:rsidR="00EE7E02" w:rsidRPr="004F0D45">
        <w:rPr>
          <w:b/>
          <w:bCs/>
          <w:i/>
          <w:iCs/>
        </w:rPr>
        <w:t xml:space="preserve"> part of the DL PRG inside the DL subband can be used.</w:t>
      </w:r>
    </w:p>
    <w:p w14:paraId="5E7E7A3E" w14:textId="4A41CD27" w:rsidR="00292072" w:rsidRPr="004F0D45" w:rsidRDefault="000F6DBE" w:rsidP="005D664D">
      <w:pPr>
        <w:shd w:val="clear" w:color="auto" w:fill="FFFFFF"/>
        <w:spacing w:after="120"/>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20</w:t>
      </w:r>
      <w:r w:rsidRPr="004F0D45">
        <w:rPr>
          <w:b/>
          <w:bCs/>
          <w:i/>
          <w:iCs/>
        </w:rPr>
        <w:fldChar w:fldCharType="end"/>
      </w:r>
      <w:r w:rsidRPr="004F0D45">
        <w:rPr>
          <w:b/>
          <w:bCs/>
          <w:i/>
          <w:iCs/>
        </w:rPr>
        <w:t xml:space="preserve">: </w:t>
      </w:r>
      <w:bookmarkStart w:id="64" w:name="_Ref134110737"/>
      <w:r w:rsidR="00554A75" w:rsidRPr="004F0D45">
        <w:rPr>
          <w:b/>
          <w:bCs/>
          <w:i/>
          <w:iCs/>
        </w:rPr>
        <w:t>Support Option 1 (non-contiguous frequency resources across two DL subbands can be allowed) when PRG is determined as wideband.</w:t>
      </w:r>
      <w:bookmarkEnd w:id="64"/>
    </w:p>
    <w:p w14:paraId="052894DD" w14:textId="7A1931EB" w:rsidR="00B65CA7" w:rsidRPr="004F0D45" w:rsidRDefault="003C2798" w:rsidP="00B65CA7">
      <w:pPr>
        <w:pStyle w:val="Heading3"/>
        <w:jc w:val="both"/>
      </w:pPr>
      <w:r w:rsidRPr="004F0D45">
        <w:t xml:space="preserve">CSI-RS resource and reporting configuration </w:t>
      </w:r>
    </w:p>
    <w:p w14:paraId="703F78A1" w14:textId="5F65932B" w:rsidR="00806BCD" w:rsidRPr="004F0D45" w:rsidRDefault="003C2798" w:rsidP="00806BCD">
      <w:pPr>
        <w:pStyle w:val="Heading4"/>
        <w:jc w:val="both"/>
      </w:pPr>
      <w:r w:rsidRPr="004F0D45">
        <w:t xml:space="preserve">CSI-RS resource configuration </w:t>
      </w:r>
    </w:p>
    <w:tbl>
      <w:tblPr>
        <w:tblStyle w:val="TableGrid"/>
        <w:tblW w:w="0" w:type="auto"/>
        <w:tblLook w:val="04A0" w:firstRow="1" w:lastRow="0" w:firstColumn="1" w:lastColumn="0" w:noHBand="0" w:noVBand="1"/>
      </w:tblPr>
      <w:tblGrid>
        <w:gridCol w:w="9629"/>
      </w:tblGrid>
      <w:tr w:rsidR="00806BCD" w:rsidRPr="004F0D45" w14:paraId="2E900E17" w14:textId="77777777" w:rsidTr="00454425">
        <w:tc>
          <w:tcPr>
            <w:tcW w:w="9629" w:type="dxa"/>
          </w:tcPr>
          <w:p w14:paraId="305652ED" w14:textId="77777777" w:rsidR="00806BCD" w:rsidRPr="004F0D45" w:rsidRDefault="00806BCD" w:rsidP="00454425">
            <w:pPr>
              <w:spacing w:after="0"/>
              <w:contextualSpacing/>
              <w:jc w:val="both"/>
              <w:rPr>
                <w:rFonts w:ascii="Times" w:eastAsia="Times New Roman" w:hAnsi="Times" w:cs="Times"/>
                <w:b/>
                <w:bCs/>
                <w:lang w:eastAsia="en-GB"/>
              </w:rPr>
            </w:pPr>
            <w:bookmarkStart w:id="65" w:name="_Hlk134097318"/>
            <w:r w:rsidRPr="004F0D45">
              <w:rPr>
                <w:rFonts w:ascii="Times" w:eastAsia="Times New Roman" w:hAnsi="Times" w:cs="Times"/>
                <w:b/>
                <w:bCs/>
                <w:lang w:eastAsia="en-GB"/>
              </w:rPr>
              <w:t>Agreement RAN1#112</w:t>
            </w:r>
          </w:p>
          <w:p w14:paraId="7AB825B0" w14:textId="77777777" w:rsidR="00806BCD" w:rsidRPr="004F0D45" w:rsidRDefault="00806BCD" w:rsidP="00454425">
            <w:pPr>
              <w:spacing w:after="0"/>
              <w:contextualSpacing/>
              <w:jc w:val="both"/>
              <w:rPr>
                <w:rFonts w:eastAsia="Malgun Gothic"/>
                <w:lang w:eastAsia="zh-CN"/>
              </w:rPr>
            </w:pPr>
            <w:r w:rsidRPr="004F0D45">
              <w:rPr>
                <w:rFonts w:eastAsia="Malgun Gothic"/>
                <w:lang w:eastAsia="zh-CN"/>
              </w:rPr>
              <w:t>Study the frequency resource allocation for CSI-RS across downlink subbands for SBFD-aware UEs considering the following options:</w:t>
            </w:r>
          </w:p>
          <w:p w14:paraId="058AB7BE" w14:textId="77777777" w:rsidR="00806BCD" w:rsidRPr="004F0D45" w:rsidRDefault="00806BCD">
            <w:pPr>
              <w:pStyle w:val="2"/>
              <w:numPr>
                <w:ilvl w:val="1"/>
                <w:numId w:val="15"/>
              </w:numPr>
              <w:suppressAutoHyphens w:val="0"/>
              <w:spacing w:after="0"/>
              <w:contextualSpacing/>
              <w:jc w:val="both"/>
              <w:rPr>
                <w:rFonts w:ascii="Times New Roman" w:eastAsia="Malgun Gothic" w:hAnsi="Times New Roman" w:cs="Times New Roman"/>
                <w:lang w:eastAsia="zh-CN"/>
              </w:rPr>
            </w:pPr>
            <w:r w:rsidRPr="004F0D45">
              <w:rPr>
                <w:rFonts w:ascii="Times New Roman" w:eastAsia="Malgun Gothic" w:hAnsi="Times New Roman" w:cs="Times New Roman"/>
                <w:lang w:eastAsia="zh-CN"/>
              </w:rPr>
              <w:t xml:space="preserve">Option 1: Two contiguous CSI-RS resources that are linked </w:t>
            </w:r>
          </w:p>
          <w:p w14:paraId="35B7AF98" w14:textId="77777777" w:rsidR="00806BCD" w:rsidRPr="004F0D45" w:rsidRDefault="00806BCD">
            <w:pPr>
              <w:pStyle w:val="2"/>
              <w:numPr>
                <w:ilvl w:val="1"/>
                <w:numId w:val="15"/>
              </w:numPr>
              <w:suppressAutoHyphens w:val="0"/>
              <w:spacing w:after="0"/>
              <w:contextualSpacing/>
              <w:jc w:val="both"/>
              <w:rPr>
                <w:rFonts w:ascii="Times New Roman" w:eastAsia="Malgun Gothic" w:hAnsi="Times New Roman" w:cs="Times New Roman"/>
                <w:lang w:eastAsia="zh-CN"/>
              </w:rPr>
            </w:pPr>
            <w:r w:rsidRPr="004F0D45">
              <w:rPr>
                <w:rFonts w:ascii="Times New Roman" w:eastAsia="Malgun Gothic" w:hAnsi="Times New Roman" w:cs="Times New Roman"/>
                <w:lang w:eastAsia="zh-CN"/>
              </w:rPr>
              <w:t>Option 2: One CSI-RS resource</w:t>
            </w:r>
          </w:p>
          <w:p w14:paraId="62D81D34" w14:textId="77777777" w:rsidR="00806BCD" w:rsidRPr="004F0D45" w:rsidRDefault="00806BCD">
            <w:pPr>
              <w:pStyle w:val="2"/>
              <w:numPr>
                <w:ilvl w:val="2"/>
                <w:numId w:val="15"/>
              </w:numPr>
              <w:suppressAutoHyphens w:val="0"/>
              <w:spacing w:after="0"/>
              <w:contextualSpacing/>
              <w:jc w:val="both"/>
              <w:rPr>
                <w:rFonts w:ascii="Times New Roman" w:eastAsia="Malgun Gothic" w:hAnsi="Times New Roman" w:cs="Times New Roman"/>
                <w:lang w:eastAsia="zh-CN"/>
              </w:rPr>
            </w:pPr>
            <w:r w:rsidRPr="004F0D45">
              <w:rPr>
                <w:rFonts w:ascii="Times New Roman" w:eastAsia="Malgun Gothic" w:hAnsi="Times New Roman" w:cs="Times New Roman"/>
                <w:lang w:eastAsia="zh-CN"/>
              </w:rPr>
              <w:t xml:space="preserve">Option 2-1: Non-contiguous CSI-RS resource allocation </w:t>
            </w:r>
          </w:p>
          <w:p w14:paraId="594E5E9A" w14:textId="356C9033" w:rsidR="00806BCD" w:rsidRPr="004F0D45" w:rsidRDefault="00806BCD" w:rsidP="004A2A91">
            <w:pPr>
              <w:pStyle w:val="2"/>
              <w:numPr>
                <w:ilvl w:val="2"/>
                <w:numId w:val="15"/>
              </w:numPr>
              <w:suppressAutoHyphens w:val="0"/>
              <w:spacing w:after="0"/>
              <w:contextualSpacing/>
              <w:jc w:val="both"/>
              <w:rPr>
                <w:rFonts w:ascii="Times New Roman" w:eastAsia="Malgun Gothic" w:hAnsi="Times New Roman" w:cs="Times New Roman"/>
                <w:lang w:eastAsia="zh-CN"/>
              </w:rPr>
            </w:pPr>
            <w:r w:rsidRPr="004F0D45">
              <w:rPr>
                <w:rFonts w:ascii="Times New Roman" w:eastAsia="Malgun Gothic" w:hAnsi="Times New Roman" w:cs="Times New Roman"/>
                <w:lang w:eastAsia="zh-CN"/>
              </w:rPr>
              <w:t xml:space="preserve">Option 2-2: One contiguous CSI-RS resource allocation with non-contiguous CSI-RS resource derived by excluding frequency resources outside DL subband (s) </w:t>
            </w:r>
          </w:p>
        </w:tc>
      </w:tr>
      <w:bookmarkEnd w:id="65"/>
    </w:tbl>
    <w:p w14:paraId="4658B611" w14:textId="77777777" w:rsidR="00806BCD" w:rsidRPr="004F0D45" w:rsidRDefault="00806BCD" w:rsidP="00806BCD">
      <w:pPr>
        <w:spacing w:after="0"/>
        <w:jc w:val="both"/>
      </w:pPr>
    </w:p>
    <w:p w14:paraId="785BB796" w14:textId="07C2570D" w:rsidR="00E4008F" w:rsidRPr="004F0D45" w:rsidRDefault="00E21303" w:rsidP="00806BCD">
      <w:pPr>
        <w:spacing w:after="0"/>
        <w:jc w:val="both"/>
      </w:pPr>
      <w:r w:rsidRPr="004F0D45">
        <w:t xml:space="preserve">In </w:t>
      </w:r>
      <w:bookmarkStart w:id="66" w:name="_Hlk134111404"/>
      <w:r w:rsidRPr="004F0D45">
        <w:t>RAN#112</w:t>
      </w:r>
      <w:bookmarkEnd w:id="66"/>
      <w:r w:rsidRPr="004F0D45">
        <w:t>, two main options were agreed to be studied for CSI-RS resource configuration</w:t>
      </w:r>
      <w:r w:rsidR="00CF66A2" w:rsidRPr="004F0D45">
        <w:t xml:space="preserve"> across DL subbands</w:t>
      </w:r>
      <w:r w:rsidRPr="004F0D45">
        <w:t xml:space="preserve"> for SBFD-aware UEs. For Option 1, contiguous CSI-RS resources is configured for each DL subband. This can be achieved</w:t>
      </w:r>
      <w:r w:rsidR="00E4008F" w:rsidRPr="004F0D45">
        <w:t xml:space="preserve"> in the current specification, where</w:t>
      </w:r>
      <w:r w:rsidRPr="004F0D45">
        <w:t xml:space="preserve"> CSI-RS resources </w:t>
      </w:r>
      <w:r w:rsidR="00E4008F" w:rsidRPr="004F0D45">
        <w:t>belonging to</w:t>
      </w:r>
      <w:r w:rsidRPr="004F0D45">
        <w:t xml:space="preserve"> the same resource</w:t>
      </w:r>
      <w:r w:rsidR="00E4008F" w:rsidRPr="004F0D45">
        <w:t xml:space="preserve"> set are configured on the DL subbands. In some configurations up to 64 CSI-RS resources can be configured within a resource set, </w:t>
      </w:r>
      <w:r w:rsidR="00280C44" w:rsidRPr="004F0D45">
        <w:t xml:space="preserve">in </w:t>
      </w:r>
      <w:r w:rsidR="00E4008F" w:rsidRPr="004F0D45">
        <w:t>which case Option 1 can readily be supported. In other configurations, the number of CSI-RS resources per resource set is limit which can impact the number of CSI-RS resources that can be configured for each DL subband. In such case</w:t>
      </w:r>
      <w:r w:rsidR="00280C44" w:rsidRPr="004F0D45">
        <w:t>s</w:t>
      </w:r>
      <w:r w:rsidR="00E4008F" w:rsidRPr="004F0D45">
        <w:t xml:space="preserve">, enhancements can configure more CSI-RS resources per resource set. </w:t>
      </w:r>
    </w:p>
    <w:p w14:paraId="45924B20" w14:textId="77777777" w:rsidR="00806BCD" w:rsidRPr="004F0D45" w:rsidRDefault="00806BCD" w:rsidP="00806BCD">
      <w:pPr>
        <w:spacing w:after="0"/>
        <w:jc w:val="both"/>
      </w:pPr>
    </w:p>
    <w:p w14:paraId="1C2410C3" w14:textId="2C00DA6C" w:rsidR="006C33FB" w:rsidRPr="004F0D45" w:rsidRDefault="00E4008F" w:rsidP="005D664D">
      <w:pPr>
        <w:jc w:val="both"/>
      </w:pPr>
      <w:r w:rsidRPr="004F0D45">
        <w:t xml:space="preserve">Option 2 defines a non-contiguous CSI-RS resource. </w:t>
      </w:r>
      <w:r w:rsidR="00BA7E3F" w:rsidRPr="004F0D45">
        <w:t>In the case of Option 2-1, a single CSI-RS resource configuration can be used to define multiple non-contiguous CSI-RS resource allocations, e.g., startRB#0 and nrofRBs#0 for one DL subband and startRB#1 and nrofRBs#1 for another DL subband.</w:t>
      </w:r>
      <w:r w:rsidR="00E21303" w:rsidRPr="004F0D45">
        <w:t xml:space="preserve"> </w:t>
      </w:r>
      <w:r w:rsidR="006C33FB" w:rsidRPr="004F0D45">
        <w:t>In this case enhancement is needed to allow non-contiguous CSI-RS allocation since the existing specification on</w:t>
      </w:r>
      <w:r w:rsidR="001A7BBA" w:rsidRPr="004F0D45">
        <w:t>ly</w:t>
      </w:r>
      <w:r w:rsidR="006C33FB" w:rsidRPr="004F0D45">
        <w:t xml:space="preserve"> allows contiguous allocation. Furthermore, impact of non-contiguous allocation on measurement accuracy must be studied. </w:t>
      </w:r>
      <w:r w:rsidR="00922EBD" w:rsidRPr="004F0D45">
        <w:t>For Option 2-2, on the other hand, a contiguous allocation is defined as in existing specification, but RBs outside DL subbands are blanked or considered as invalid.</w:t>
      </w:r>
      <w:r w:rsidR="001A7BBA" w:rsidRPr="004F0D45">
        <w:t xml:space="preserve"> In this case</w:t>
      </w:r>
      <w:r w:rsidR="008C62DB" w:rsidRPr="004F0D45">
        <w:t xml:space="preserve"> the impact of resource blanking/muting on measurement accuracy</w:t>
      </w:r>
      <w:r w:rsidR="001A7BBA" w:rsidRPr="004F0D45">
        <w:t xml:space="preserve"> should be studied</w:t>
      </w:r>
      <w:r w:rsidR="008C62DB" w:rsidRPr="004F0D45">
        <w:t xml:space="preserve">. </w:t>
      </w:r>
    </w:p>
    <w:p w14:paraId="6A8CE64C" w14:textId="0E00189F" w:rsidR="00E21303" w:rsidRPr="004F0D45" w:rsidRDefault="008C62DB" w:rsidP="005D664D">
      <w:pPr>
        <w:jc w:val="both"/>
      </w:pPr>
      <w:r w:rsidRPr="004F0D45">
        <w:t>Comparing the above options, Option 1 requires less change to implementation/signalling compared to the others. Therefore, we prefer Option 1. However, further study is needed to understand the benefits and clarify the differences in implementation/signalling for these options</w:t>
      </w:r>
    </w:p>
    <w:p w14:paraId="2EBE881E" w14:textId="1C4D2382" w:rsidR="009103B3" w:rsidRPr="004F0D45" w:rsidRDefault="003C2798" w:rsidP="00A34E96">
      <w:pPr>
        <w:shd w:val="clear" w:color="auto" w:fill="FFFFFF"/>
        <w:spacing w:after="60"/>
        <w:jc w:val="both"/>
        <w:rPr>
          <w:b/>
          <w:bCs/>
          <w:i/>
          <w:iCs/>
        </w:rPr>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F230AB" w:rsidRPr="004F0D45">
        <w:rPr>
          <w:b/>
          <w:bCs/>
          <w:i/>
          <w:iCs/>
          <w:noProof/>
        </w:rPr>
        <w:t>12</w:t>
      </w:r>
      <w:r w:rsidRPr="004F0D45">
        <w:rPr>
          <w:b/>
          <w:bCs/>
          <w:i/>
          <w:iCs/>
        </w:rPr>
        <w:fldChar w:fldCharType="end"/>
      </w:r>
      <w:r w:rsidRPr="004F0D45">
        <w:rPr>
          <w:b/>
          <w:bCs/>
          <w:i/>
          <w:iCs/>
        </w:rPr>
        <w:t xml:space="preserve">: </w:t>
      </w:r>
      <w:bookmarkStart w:id="67" w:name="_Ref131537303"/>
      <w:bookmarkStart w:id="68" w:name="_Ref131596464"/>
      <w:r w:rsidRPr="004F0D45">
        <w:rPr>
          <w:b/>
          <w:bCs/>
          <w:i/>
          <w:iCs/>
        </w:rPr>
        <w:t>Option 1</w:t>
      </w:r>
      <w:bookmarkEnd w:id="67"/>
      <w:r w:rsidR="009E7FC8" w:rsidRPr="004F0D45">
        <w:rPr>
          <w:b/>
          <w:bCs/>
          <w:i/>
          <w:iCs/>
        </w:rPr>
        <w:t xml:space="preserve"> of CSI-RS resource configuration requires less change to implementation/signalling</w:t>
      </w:r>
      <w:bookmarkEnd w:id="68"/>
      <w:r w:rsidR="009E7FC8" w:rsidRPr="004F0D45">
        <w:rPr>
          <w:b/>
          <w:bCs/>
          <w:i/>
          <w:iCs/>
        </w:rPr>
        <w:t xml:space="preserve"> </w:t>
      </w:r>
    </w:p>
    <w:p w14:paraId="21AAD576" w14:textId="51831D09" w:rsidR="006F69B3" w:rsidRPr="004F0D45" w:rsidRDefault="00AC0FA4" w:rsidP="00A34E96">
      <w:pPr>
        <w:shd w:val="clear" w:color="auto" w:fill="FFFFFF"/>
        <w:spacing w:after="60"/>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21</w:t>
      </w:r>
      <w:r w:rsidRPr="004F0D45">
        <w:rPr>
          <w:b/>
          <w:bCs/>
          <w:i/>
          <w:iCs/>
        </w:rPr>
        <w:fldChar w:fldCharType="end"/>
      </w:r>
      <w:r w:rsidRPr="004F0D45">
        <w:rPr>
          <w:b/>
          <w:bCs/>
          <w:i/>
          <w:iCs/>
        </w:rPr>
        <w:t xml:space="preserve">: </w:t>
      </w:r>
      <w:bookmarkStart w:id="69" w:name="_Ref131537668"/>
      <w:r w:rsidRPr="004F0D45">
        <w:rPr>
          <w:b/>
          <w:bCs/>
          <w:i/>
          <w:iCs/>
        </w:rPr>
        <w:t>Support</w:t>
      </w:r>
      <w:r w:rsidR="00465BC3" w:rsidRPr="004F0D45">
        <w:rPr>
          <w:b/>
          <w:bCs/>
          <w:i/>
          <w:iCs/>
        </w:rPr>
        <w:t xml:space="preserve"> at least Option 1</w:t>
      </w:r>
      <w:r w:rsidRPr="004F0D45">
        <w:rPr>
          <w:b/>
          <w:bCs/>
          <w:i/>
          <w:iCs/>
        </w:rPr>
        <w:t xml:space="preserve"> </w:t>
      </w:r>
      <w:r w:rsidR="00465BC3" w:rsidRPr="004F0D45">
        <w:rPr>
          <w:b/>
          <w:bCs/>
          <w:i/>
          <w:iCs/>
        </w:rPr>
        <w:t>(</w:t>
      </w:r>
      <w:r w:rsidRPr="004F0D45">
        <w:rPr>
          <w:b/>
          <w:bCs/>
          <w:i/>
          <w:iCs/>
        </w:rPr>
        <w:t>two contiguous CSI-RS resources that are linked</w:t>
      </w:r>
      <w:bookmarkEnd w:id="69"/>
      <w:r w:rsidR="00465BC3" w:rsidRPr="004F0D45">
        <w:rPr>
          <w:b/>
          <w:bCs/>
          <w:i/>
          <w:iCs/>
        </w:rPr>
        <w:t>) for CSI-RS resource configuration</w:t>
      </w:r>
      <w:r w:rsidR="004C54AA" w:rsidRPr="004F0D45">
        <w:rPr>
          <w:b/>
          <w:bCs/>
          <w:i/>
          <w:iCs/>
        </w:rPr>
        <w:t>.</w:t>
      </w:r>
      <w:r w:rsidR="00465BC3" w:rsidRPr="004F0D45">
        <w:rPr>
          <w:b/>
          <w:bCs/>
          <w:i/>
          <w:iCs/>
        </w:rPr>
        <w:t xml:space="preserve"> Option 2 is not excluded at this stage. </w:t>
      </w:r>
    </w:p>
    <w:p w14:paraId="4E260D57" w14:textId="74860601" w:rsidR="003C2798" w:rsidRPr="004F0D45" w:rsidRDefault="00770C92" w:rsidP="005D664D">
      <w:pPr>
        <w:pStyle w:val="Heading4"/>
        <w:jc w:val="both"/>
      </w:pPr>
      <w:r w:rsidRPr="004F0D45">
        <w:t xml:space="preserve">CSI reporting configuration </w:t>
      </w:r>
    </w:p>
    <w:tbl>
      <w:tblPr>
        <w:tblStyle w:val="TableGrid"/>
        <w:tblW w:w="0" w:type="auto"/>
        <w:tblLook w:val="04A0" w:firstRow="1" w:lastRow="0" w:firstColumn="1" w:lastColumn="0" w:noHBand="0" w:noVBand="1"/>
      </w:tblPr>
      <w:tblGrid>
        <w:gridCol w:w="9629"/>
      </w:tblGrid>
      <w:tr w:rsidR="00806BCD" w:rsidRPr="004F0D45" w14:paraId="4D3D6EFC" w14:textId="77777777" w:rsidTr="00454425">
        <w:tc>
          <w:tcPr>
            <w:tcW w:w="9629" w:type="dxa"/>
          </w:tcPr>
          <w:p w14:paraId="737722F8" w14:textId="77777777" w:rsidR="00806BCD" w:rsidRPr="004F0D45" w:rsidRDefault="00806BCD" w:rsidP="00454425">
            <w:pPr>
              <w:spacing w:after="0"/>
              <w:rPr>
                <w:rFonts w:eastAsia="Malgun Gothic"/>
                <w:b/>
                <w:lang w:eastAsia="zh-CN"/>
              </w:rPr>
            </w:pPr>
            <w:r w:rsidRPr="004F0D45">
              <w:rPr>
                <w:rFonts w:eastAsia="Malgun Gothic" w:hint="eastAsia"/>
                <w:b/>
                <w:lang w:eastAsia="zh-CN"/>
              </w:rPr>
              <w:t>Agreement</w:t>
            </w:r>
            <w:r w:rsidRPr="004F0D45">
              <w:rPr>
                <w:rFonts w:eastAsia="Malgun Gothic"/>
                <w:b/>
                <w:lang w:eastAsia="zh-CN"/>
              </w:rPr>
              <w:t xml:space="preserve"> </w:t>
            </w:r>
            <w:r w:rsidRPr="004F0D45">
              <w:rPr>
                <w:rFonts w:ascii="Times" w:eastAsia="Times New Roman" w:hAnsi="Times" w:cs="Times"/>
                <w:b/>
                <w:bCs/>
                <w:lang w:eastAsia="en-GB"/>
              </w:rPr>
              <w:t>RAN1#112bis-e</w:t>
            </w:r>
          </w:p>
          <w:p w14:paraId="3C856F9E" w14:textId="77777777" w:rsidR="00806BCD" w:rsidRPr="004F0D45" w:rsidRDefault="00806BCD" w:rsidP="00454425">
            <w:pPr>
              <w:spacing w:after="0"/>
              <w:rPr>
                <w:rFonts w:eastAsia="Malgun Gothic" w:cs="Times"/>
                <w:lang w:eastAsia="zh-CN"/>
              </w:rPr>
            </w:pPr>
            <w:r w:rsidRPr="004F0D45">
              <w:rPr>
                <w:rFonts w:eastAsia="Malgun Gothic" w:cs="Times"/>
                <w:lang w:eastAsia="zh-CN"/>
              </w:rPr>
              <w:t>For SBFD-aware UEs, study the following options</w:t>
            </w:r>
            <w:r w:rsidRPr="004F0D45">
              <w:rPr>
                <w:rFonts w:eastAsia="Malgun Gothic" w:cs="Times"/>
              </w:rPr>
              <w:t xml:space="preserve"> for CSI report associated with periodic/semi-persistent CSI-RS </w:t>
            </w:r>
            <w:r w:rsidRPr="004F0D45">
              <w:rPr>
                <w:rFonts w:eastAsia="Malgun Gothic" w:cs="Times"/>
                <w:lang w:eastAsia="zh-CN"/>
              </w:rPr>
              <w:t>in case the periodicity is such that CSI-RS instances occur in both SBFD and non-SBFD symbols:</w:t>
            </w:r>
          </w:p>
          <w:p w14:paraId="6617CD0C" w14:textId="77777777" w:rsidR="00806BCD" w:rsidRPr="004F0D45" w:rsidRDefault="00806BCD">
            <w:pPr>
              <w:numPr>
                <w:ilvl w:val="0"/>
                <w:numId w:val="20"/>
              </w:numPr>
              <w:overflowPunct/>
              <w:autoSpaceDE/>
              <w:autoSpaceDN/>
              <w:adjustRightInd/>
              <w:spacing w:after="0"/>
              <w:rPr>
                <w:rFonts w:eastAsia="Malgun Gothic"/>
                <w:lang w:eastAsia="zh-CN"/>
              </w:rPr>
            </w:pPr>
            <w:r w:rsidRPr="004F0D45">
              <w:rPr>
                <w:rFonts w:eastAsia="Malgun Gothic" w:cs="Times"/>
                <w:lang w:eastAsia="zh-CN"/>
              </w:rPr>
              <w:t xml:space="preserve">Option 1: two </w:t>
            </w:r>
            <w:r w:rsidRPr="004F0D45">
              <w:rPr>
                <w:rFonts w:eastAsia="Malgun Gothic" w:cs="Times"/>
                <w:i/>
                <w:iCs/>
                <w:lang w:eastAsia="zh-CN"/>
              </w:rPr>
              <w:t>CSI-ReportConfig</w:t>
            </w:r>
            <w:r w:rsidRPr="004F0D45">
              <w:rPr>
                <w:rFonts w:eastAsia="Malgun Gothic" w:cs="Times"/>
                <w:iCs/>
                <w:lang w:eastAsia="zh-CN"/>
              </w:rPr>
              <w:t>s</w:t>
            </w:r>
            <w:r w:rsidRPr="004F0D45">
              <w:rPr>
                <w:rFonts w:eastAsia="Malgun Gothic" w:cs="Times"/>
                <w:i/>
                <w:iCs/>
                <w:lang w:eastAsia="zh-CN"/>
              </w:rPr>
              <w:t xml:space="preserve">, </w:t>
            </w:r>
            <w:r w:rsidRPr="004F0D45">
              <w:rPr>
                <w:rFonts w:eastAsia="Malgun Gothic" w:cs="Times"/>
                <w:lang w:eastAsia="zh-CN"/>
              </w:rPr>
              <w:t>where one is associated with SBFD symbols and the other is associated with non-SBFD symbols</w:t>
            </w:r>
          </w:p>
          <w:p w14:paraId="3A223E98" w14:textId="77777777" w:rsidR="00806BCD" w:rsidRPr="004F0D45" w:rsidRDefault="00806BCD">
            <w:pPr>
              <w:numPr>
                <w:ilvl w:val="1"/>
                <w:numId w:val="20"/>
              </w:numPr>
              <w:overflowPunct/>
              <w:autoSpaceDE/>
              <w:autoSpaceDN/>
              <w:adjustRightInd/>
              <w:spacing w:after="0"/>
              <w:rPr>
                <w:rFonts w:eastAsia="Malgun Gothic"/>
                <w:lang w:eastAsia="zh-CN"/>
              </w:rPr>
            </w:pPr>
            <w:r w:rsidRPr="004F0D45">
              <w:rPr>
                <w:rFonts w:eastAsia="Malgun Gothic" w:cs="Times"/>
                <w:lang w:eastAsia="zh-CN"/>
              </w:rPr>
              <w:t xml:space="preserve">Option 1-1: One </w:t>
            </w:r>
            <w:r w:rsidRPr="004F0D45">
              <w:rPr>
                <w:rFonts w:eastAsia="Malgun Gothic" w:cs="Times"/>
                <w:i/>
                <w:iCs/>
                <w:lang w:eastAsia="zh-CN"/>
              </w:rPr>
              <w:t>CSI-</w:t>
            </w:r>
            <w:proofErr w:type="spellStart"/>
            <w:r w:rsidRPr="004F0D45">
              <w:rPr>
                <w:rFonts w:eastAsia="Malgun Gothic" w:cs="Times"/>
                <w:i/>
                <w:iCs/>
                <w:lang w:eastAsia="zh-CN"/>
              </w:rPr>
              <w:t>ReportConfig</w:t>
            </w:r>
            <w:proofErr w:type="spellEnd"/>
            <w:r w:rsidRPr="004F0D45">
              <w:rPr>
                <w:rFonts w:eastAsia="Malgun Gothic" w:cs="Times"/>
                <w:lang w:eastAsia="zh-CN"/>
              </w:rPr>
              <w:t xml:space="preserve"> is associated with a CSI-RS restricted to SBFD symbols only and the second </w:t>
            </w:r>
            <w:r w:rsidRPr="004F0D45">
              <w:rPr>
                <w:rFonts w:eastAsia="Malgun Gothic" w:cs="Times"/>
                <w:i/>
                <w:iCs/>
                <w:lang w:eastAsia="zh-CN"/>
              </w:rPr>
              <w:t>CSI-</w:t>
            </w:r>
            <w:proofErr w:type="spellStart"/>
            <w:r w:rsidRPr="004F0D45">
              <w:rPr>
                <w:rFonts w:eastAsia="Malgun Gothic" w:cs="Times"/>
                <w:i/>
                <w:iCs/>
                <w:lang w:eastAsia="zh-CN"/>
              </w:rPr>
              <w:t>ReportConfig</w:t>
            </w:r>
            <w:proofErr w:type="spellEnd"/>
            <w:r w:rsidRPr="004F0D45">
              <w:rPr>
                <w:rFonts w:eastAsia="Malgun Gothic" w:cs="Times"/>
                <w:lang w:eastAsia="zh-CN"/>
              </w:rPr>
              <w:t xml:space="preserve"> is associated with a second CSI-RS restricted to non-SBFD symbols </w:t>
            </w:r>
            <w:proofErr w:type="gramStart"/>
            <w:r w:rsidRPr="004F0D45">
              <w:rPr>
                <w:rFonts w:eastAsia="Malgun Gothic" w:cs="Times"/>
                <w:lang w:eastAsia="zh-CN"/>
              </w:rPr>
              <w:t>only;</w:t>
            </w:r>
            <w:proofErr w:type="gramEnd"/>
          </w:p>
          <w:p w14:paraId="4EC82303" w14:textId="77777777" w:rsidR="00806BCD" w:rsidRPr="004F0D45" w:rsidRDefault="00806BCD">
            <w:pPr>
              <w:numPr>
                <w:ilvl w:val="1"/>
                <w:numId w:val="20"/>
              </w:numPr>
              <w:overflowPunct/>
              <w:autoSpaceDE/>
              <w:autoSpaceDN/>
              <w:adjustRightInd/>
              <w:spacing w:after="0"/>
              <w:rPr>
                <w:rFonts w:eastAsia="Malgun Gothic"/>
                <w:lang w:eastAsia="zh-CN"/>
              </w:rPr>
            </w:pPr>
            <w:r w:rsidRPr="004F0D45">
              <w:rPr>
                <w:rFonts w:eastAsia="Malgun Gothic" w:cs="Times"/>
                <w:lang w:eastAsia="zh-CN"/>
              </w:rPr>
              <w:t xml:space="preserve">Option 1-2: Both </w:t>
            </w:r>
            <w:r w:rsidRPr="004F0D45">
              <w:rPr>
                <w:rFonts w:eastAsia="Malgun Gothic" w:cs="Times"/>
                <w:i/>
                <w:iCs/>
                <w:lang w:eastAsia="zh-CN"/>
              </w:rPr>
              <w:t>CSI-ReportConfig</w:t>
            </w:r>
            <w:r w:rsidRPr="004F0D45">
              <w:rPr>
                <w:rFonts w:eastAsia="Malgun Gothic" w:cs="Times"/>
                <w:iCs/>
                <w:lang w:eastAsia="zh-CN"/>
              </w:rPr>
              <w:t>s</w:t>
            </w:r>
            <w:r w:rsidRPr="004F0D45">
              <w:rPr>
                <w:rFonts w:eastAsia="Malgun Gothic" w:cs="Times"/>
                <w:lang w:eastAsia="zh-CN"/>
              </w:rPr>
              <w:t xml:space="preserve"> are associated with the same CSI-RS. The CSI report associated with one </w:t>
            </w:r>
            <w:r w:rsidRPr="004F0D45">
              <w:rPr>
                <w:rFonts w:eastAsia="Malgun Gothic" w:cs="Times"/>
                <w:i/>
                <w:iCs/>
                <w:lang w:eastAsia="zh-CN"/>
              </w:rPr>
              <w:t>CSI-</w:t>
            </w:r>
            <w:proofErr w:type="spellStart"/>
            <w:r w:rsidRPr="004F0D45">
              <w:rPr>
                <w:rFonts w:eastAsia="Malgun Gothic" w:cs="Times"/>
                <w:i/>
                <w:iCs/>
                <w:lang w:eastAsia="zh-CN"/>
              </w:rPr>
              <w:t>ReportConfig</w:t>
            </w:r>
            <w:proofErr w:type="spellEnd"/>
            <w:r w:rsidRPr="004F0D45">
              <w:rPr>
                <w:rFonts w:eastAsia="Malgun Gothic" w:cs="Times"/>
                <w:lang w:eastAsia="zh-CN"/>
              </w:rPr>
              <w:t xml:space="preserve"> is derived based on CSI-RS instances in SBFD symbols only. The CSI report associated with the second </w:t>
            </w:r>
            <w:r w:rsidRPr="004F0D45">
              <w:rPr>
                <w:rFonts w:eastAsia="Malgun Gothic" w:cs="Times"/>
                <w:i/>
                <w:iCs/>
                <w:lang w:eastAsia="zh-CN"/>
              </w:rPr>
              <w:t>CSI-</w:t>
            </w:r>
            <w:proofErr w:type="spellStart"/>
            <w:r w:rsidRPr="004F0D45">
              <w:rPr>
                <w:rFonts w:eastAsia="Malgun Gothic" w:cs="Times"/>
                <w:i/>
                <w:iCs/>
                <w:lang w:eastAsia="zh-CN"/>
              </w:rPr>
              <w:t>ReportConfig</w:t>
            </w:r>
            <w:proofErr w:type="spellEnd"/>
            <w:r w:rsidRPr="004F0D45">
              <w:rPr>
                <w:rFonts w:eastAsia="Malgun Gothic" w:cs="Times"/>
                <w:lang w:eastAsia="zh-CN"/>
              </w:rPr>
              <w:t xml:space="preserve"> is derived based on CSI-RS instances in non-SBFD symbols only.</w:t>
            </w:r>
          </w:p>
          <w:p w14:paraId="6EF4031A" w14:textId="77777777" w:rsidR="00806BCD" w:rsidRPr="004F0D45" w:rsidRDefault="00806BCD">
            <w:pPr>
              <w:numPr>
                <w:ilvl w:val="0"/>
                <w:numId w:val="20"/>
              </w:numPr>
              <w:overflowPunct/>
              <w:autoSpaceDE/>
              <w:autoSpaceDN/>
              <w:adjustRightInd/>
              <w:spacing w:after="0"/>
              <w:rPr>
                <w:rFonts w:eastAsia="Malgun Gothic"/>
                <w:lang w:eastAsia="zh-CN"/>
              </w:rPr>
            </w:pPr>
            <w:r w:rsidRPr="004F0D45">
              <w:rPr>
                <w:rFonts w:eastAsia="Malgun Gothic" w:cs="Times"/>
                <w:lang w:eastAsia="zh-CN"/>
              </w:rPr>
              <w:t xml:space="preserve">Option 2: one </w:t>
            </w:r>
            <w:r w:rsidRPr="004F0D45">
              <w:rPr>
                <w:rFonts w:eastAsia="Malgun Gothic" w:cs="Times"/>
                <w:i/>
                <w:iCs/>
                <w:lang w:eastAsia="zh-CN"/>
              </w:rPr>
              <w:t>CSI-</w:t>
            </w:r>
            <w:proofErr w:type="spellStart"/>
            <w:r w:rsidRPr="004F0D45">
              <w:rPr>
                <w:rFonts w:eastAsia="Malgun Gothic" w:cs="Times"/>
                <w:i/>
                <w:iCs/>
                <w:lang w:eastAsia="zh-CN"/>
              </w:rPr>
              <w:t>ReportConfig</w:t>
            </w:r>
            <w:proofErr w:type="spellEnd"/>
            <w:r w:rsidRPr="004F0D45">
              <w:rPr>
                <w:rFonts w:eastAsia="Malgun Gothic" w:cs="Times"/>
                <w:lang w:eastAsia="zh-CN"/>
              </w:rPr>
              <w:t xml:space="preserve"> associated with both SBFD symbols and non-SBFD symbols</w:t>
            </w:r>
          </w:p>
          <w:p w14:paraId="2227F48F" w14:textId="77777777" w:rsidR="00806BCD" w:rsidRPr="004F0D45" w:rsidRDefault="00806BCD">
            <w:pPr>
              <w:numPr>
                <w:ilvl w:val="1"/>
                <w:numId w:val="20"/>
              </w:numPr>
              <w:overflowPunct/>
              <w:autoSpaceDE/>
              <w:autoSpaceDN/>
              <w:adjustRightInd/>
              <w:spacing w:after="0"/>
              <w:rPr>
                <w:rFonts w:eastAsia="Malgun Gothic"/>
                <w:lang w:eastAsia="zh-CN"/>
              </w:rPr>
            </w:pPr>
            <w:r w:rsidRPr="004F0D45">
              <w:rPr>
                <w:rFonts w:eastAsia="Malgun Gothic" w:cs="Times"/>
                <w:lang w:eastAsia="zh-CN"/>
              </w:rPr>
              <w:lastRenderedPageBreak/>
              <w:t xml:space="preserve">Option 2-1: One </w:t>
            </w:r>
            <w:r w:rsidRPr="004F0D45">
              <w:rPr>
                <w:rFonts w:eastAsia="Malgun Gothic" w:cs="Times"/>
                <w:i/>
                <w:iCs/>
                <w:lang w:eastAsia="zh-CN"/>
              </w:rPr>
              <w:t>CSI-</w:t>
            </w:r>
            <w:proofErr w:type="spellStart"/>
            <w:r w:rsidRPr="004F0D45">
              <w:rPr>
                <w:rFonts w:eastAsia="Malgun Gothic" w:cs="Times"/>
                <w:i/>
                <w:iCs/>
                <w:lang w:eastAsia="zh-CN"/>
              </w:rPr>
              <w:t>ReportConfig</w:t>
            </w:r>
            <w:proofErr w:type="spellEnd"/>
            <w:r w:rsidRPr="004F0D45">
              <w:rPr>
                <w:rFonts w:eastAsia="Malgun Gothic" w:cs="Times"/>
                <w:lang w:eastAsia="zh-CN"/>
              </w:rPr>
              <w:t xml:space="preserve"> is associated with two CSI-RSs which are restricted to SBFD symbols and non-SBFD symbols respectively. Separate CSI measurements are derived based on the first and second CSI-RSs respectively.</w:t>
            </w:r>
          </w:p>
          <w:p w14:paraId="64E8ACE3" w14:textId="2D71CF78" w:rsidR="00806BCD" w:rsidRPr="004F0D45" w:rsidRDefault="00806BCD" w:rsidP="006960B2">
            <w:pPr>
              <w:numPr>
                <w:ilvl w:val="1"/>
                <w:numId w:val="20"/>
              </w:numPr>
              <w:overflowPunct/>
              <w:autoSpaceDE/>
              <w:autoSpaceDN/>
              <w:adjustRightInd/>
              <w:spacing w:after="0"/>
              <w:rPr>
                <w:rFonts w:eastAsia="Malgun Gothic"/>
                <w:lang w:eastAsia="zh-CN"/>
              </w:rPr>
            </w:pPr>
            <w:r w:rsidRPr="004F0D45">
              <w:rPr>
                <w:rFonts w:eastAsia="Malgun Gothic" w:cs="Times"/>
                <w:lang w:eastAsia="zh-CN"/>
              </w:rPr>
              <w:t xml:space="preserve">Option 2-2: One </w:t>
            </w:r>
            <w:r w:rsidRPr="004F0D45">
              <w:rPr>
                <w:rFonts w:eastAsia="Malgun Gothic" w:cs="Times"/>
                <w:i/>
                <w:iCs/>
                <w:lang w:eastAsia="zh-CN"/>
              </w:rPr>
              <w:t>CSI-</w:t>
            </w:r>
            <w:proofErr w:type="spellStart"/>
            <w:r w:rsidRPr="004F0D45">
              <w:rPr>
                <w:rFonts w:eastAsia="Malgun Gothic" w:cs="Times"/>
                <w:i/>
                <w:iCs/>
                <w:lang w:eastAsia="zh-CN"/>
              </w:rPr>
              <w:t>ReportConfig</w:t>
            </w:r>
            <w:proofErr w:type="spellEnd"/>
            <w:r w:rsidRPr="004F0D45">
              <w:rPr>
                <w:rFonts w:eastAsia="Malgun Gothic" w:cs="Times"/>
                <w:lang w:eastAsia="zh-CN"/>
              </w:rPr>
              <w:t xml:space="preserve"> is associated with one CSI-RS. The CSI report is derived based on CSI-RS which can be in SBFD symbols or non-SBFD symbols in different time instances.</w:t>
            </w:r>
          </w:p>
        </w:tc>
      </w:tr>
    </w:tbl>
    <w:p w14:paraId="5942093E" w14:textId="77777777" w:rsidR="00806BCD" w:rsidRPr="004F0D45" w:rsidRDefault="00806BCD" w:rsidP="00CA4B6A">
      <w:pPr>
        <w:spacing w:after="0"/>
        <w:jc w:val="both"/>
      </w:pPr>
    </w:p>
    <w:p w14:paraId="033A13B9" w14:textId="2572F7C6" w:rsidR="004C6957" w:rsidRPr="004F0D45" w:rsidRDefault="00770C92" w:rsidP="00CA4B6A">
      <w:pPr>
        <w:spacing w:after="0"/>
        <w:jc w:val="both"/>
        <w:rPr>
          <w:rFonts w:eastAsia="Malgun Gothic"/>
        </w:rPr>
      </w:pPr>
      <w:r w:rsidRPr="004F0D45">
        <w:t>In RAN#112</w:t>
      </w:r>
      <w:r w:rsidR="007D4E53" w:rsidRPr="004F0D45">
        <w:t>bis-e</w:t>
      </w:r>
      <w:r w:rsidRPr="004F0D45">
        <w:t>, two CSI reporting options w</w:t>
      </w:r>
      <w:r w:rsidR="00D57A2F" w:rsidRPr="004F0D45">
        <w:t>e</w:t>
      </w:r>
      <w:r w:rsidR="00E93947" w:rsidRPr="004F0D45">
        <w:t>re</w:t>
      </w:r>
      <w:r w:rsidRPr="004F0D45">
        <w:t xml:space="preserve"> agreed to be studied for CSI reports associated with periodic/semi-persistent CSI-RS </w:t>
      </w:r>
      <w:r w:rsidRPr="004F0D45">
        <w:rPr>
          <w:rFonts w:eastAsia="Malgun Gothic"/>
        </w:rPr>
        <w:t>across SBFD and non-SBFD slots</w:t>
      </w:r>
      <w:r w:rsidR="001528CB" w:rsidRPr="004F0D45">
        <w:rPr>
          <w:rFonts w:eastAsia="Malgun Gothic"/>
        </w:rPr>
        <w:t>/symbols</w:t>
      </w:r>
      <w:r w:rsidRPr="004F0D45">
        <w:rPr>
          <w:rFonts w:eastAsia="Malgun Gothic"/>
        </w:rPr>
        <w:t>. Option 1 allows slot-specific CSI measurement and reporting</w:t>
      </w:r>
      <w:r w:rsidR="00E1619C" w:rsidRPr="004F0D45">
        <w:rPr>
          <w:rFonts w:eastAsia="Malgun Gothic"/>
        </w:rPr>
        <w:t xml:space="preserve"> by configuring separate CSI reporting configurations for each slot type. This option</w:t>
      </w:r>
      <w:r w:rsidRPr="004F0D45">
        <w:rPr>
          <w:rFonts w:eastAsia="Malgun Gothic"/>
        </w:rPr>
        <w:t xml:space="preserve"> is useful for obtaining accurate channel/interference conditions on each </w:t>
      </w:r>
      <w:r w:rsidR="00057380" w:rsidRPr="004F0D45">
        <w:rPr>
          <w:rFonts w:eastAsia="Malgun Gothic"/>
        </w:rPr>
        <w:t>slot type</w:t>
      </w:r>
      <w:r w:rsidRPr="004F0D45">
        <w:rPr>
          <w:rFonts w:eastAsia="Malgun Gothic"/>
        </w:rPr>
        <w:t>.</w:t>
      </w:r>
      <w:r w:rsidR="004009DD" w:rsidRPr="004F0D45">
        <w:rPr>
          <w:rFonts w:eastAsia="Malgun Gothic"/>
        </w:rPr>
        <w:t xml:space="preserve"> For</w:t>
      </w:r>
      <w:r w:rsidRPr="004F0D45">
        <w:rPr>
          <w:rFonts w:eastAsia="Malgun Gothic"/>
        </w:rPr>
        <w:t xml:space="preserve"> Option 2</w:t>
      </w:r>
      <w:r w:rsidR="004009DD" w:rsidRPr="004F0D45">
        <w:rPr>
          <w:rFonts w:eastAsia="Malgun Gothic"/>
        </w:rPr>
        <w:t>, a single CSI reporting configuration is configured for</w:t>
      </w:r>
      <w:r w:rsidR="004440FC" w:rsidRPr="004F0D45">
        <w:rPr>
          <w:rFonts w:eastAsia="Malgun Gothic"/>
        </w:rPr>
        <w:t xml:space="preserve"> </w:t>
      </w:r>
      <w:r w:rsidR="004009DD" w:rsidRPr="004F0D45">
        <w:rPr>
          <w:rFonts w:eastAsia="Malgun Gothic"/>
        </w:rPr>
        <w:t xml:space="preserve">both </w:t>
      </w:r>
      <w:r w:rsidR="004440FC" w:rsidRPr="004F0D45">
        <w:rPr>
          <w:rFonts w:eastAsia="Malgun Gothic"/>
        </w:rPr>
        <w:t>SBFD and non-SBFD slots</w:t>
      </w:r>
      <w:r w:rsidR="00057380" w:rsidRPr="004F0D45">
        <w:rPr>
          <w:rFonts w:eastAsia="Malgun Gothic"/>
        </w:rPr>
        <w:t>/symbols</w:t>
      </w:r>
      <w:r w:rsidR="004440FC" w:rsidRPr="004F0D45">
        <w:rPr>
          <w:rFonts w:eastAsia="Malgun Gothic"/>
        </w:rPr>
        <w:t>.</w:t>
      </w:r>
      <w:r w:rsidR="00F907C0" w:rsidRPr="004F0D45">
        <w:rPr>
          <w:rFonts w:eastAsia="Malgun Gothic"/>
        </w:rPr>
        <w:t xml:space="preserve"> </w:t>
      </w:r>
      <w:r w:rsidR="004440FC" w:rsidRPr="004F0D45">
        <w:rPr>
          <w:rFonts w:eastAsia="Malgun Gothic"/>
        </w:rPr>
        <w:t>In this case the</w:t>
      </w:r>
      <w:r w:rsidRPr="004F0D45">
        <w:rPr>
          <w:rFonts w:eastAsia="Malgun Gothic"/>
        </w:rPr>
        <w:t xml:space="preserve"> overall measurement accuracy </w:t>
      </w:r>
      <w:r w:rsidR="00057380" w:rsidRPr="004F0D45">
        <w:rPr>
          <w:rFonts w:eastAsia="Malgun Gothic"/>
        </w:rPr>
        <w:t>may</w:t>
      </w:r>
      <w:r w:rsidRPr="004F0D45">
        <w:rPr>
          <w:rFonts w:eastAsia="Malgun Gothic"/>
        </w:rPr>
        <w:t xml:space="preserve"> be impacted by the high level of CLI on SBFD slots/symbols.</w:t>
      </w:r>
    </w:p>
    <w:p w14:paraId="5999F58A" w14:textId="77777777" w:rsidR="00CA4B6A" w:rsidRPr="004F0D45" w:rsidRDefault="00CA4B6A" w:rsidP="00CA4B6A">
      <w:pPr>
        <w:spacing w:after="0"/>
        <w:jc w:val="both"/>
        <w:rPr>
          <w:rFonts w:eastAsia="Malgun Gothic"/>
        </w:rPr>
      </w:pPr>
    </w:p>
    <w:p w14:paraId="172E78E7" w14:textId="3E8FA642" w:rsidR="005F4C87" w:rsidRPr="004F0D45" w:rsidRDefault="004C6957" w:rsidP="005D664D">
      <w:pPr>
        <w:jc w:val="both"/>
        <w:rPr>
          <w:rFonts w:eastAsia="Malgun Gothic"/>
        </w:rPr>
      </w:pPr>
      <w:r w:rsidRPr="004F0D45">
        <w:rPr>
          <w:rFonts w:eastAsia="Malgun Gothic"/>
        </w:rPr>
        <w:t>F</w:t>
      </w:r>
      <w:r w:rsidR="00770C92" w:rsidRPr="004F0D45">
        <w:rPr>
          <w:rFonts w:eastAsia="Malgun Gothic"/>
        </w:rPr>
        <w:t>or</w:t>
      </w:r>
      <w:r w:rsidRPr="004F0D45">
        <w:rPr>
          <w:rFonts w:eastAsia="Malgun Gothic"/>
        </w:rPr>
        <w:t xml:space="preserve"> </w:t>
      </w:r>
      <w:r w:rsidR="00770C92" w:rsidRPr="004F0D45">
        <w:rPr>
          <w:rFonts w:eastAsia="Malgun Gothic"/>
        </w:rPr>
        <w:t>periodic</w:t>
      </w:r>
      <w:r w:rsidR="0056751F" w:rsidRPr="004F0D45">
        <w:rPr>
          <w:rFonts w:eastAsia="Malgun Gothic"/>
        </w:rPr>
        <w:t>/</w:t>
      </w:r>
      <w:r w:rsidR="00770C92" w:rsidRPr="004F0D45">
        <w:rPr>
          <w:rFonts w:eastAsia="Malgun Gothic"/>
        </w:rPr>
        <w:t xml:space="preserve">semi-persistent CSI reporting, </w:t>
      </w:r>
      <w:r w:rsidRPr="004F0D45">
        <w:rPr>
          <w:rFonts w:eastAsia="Malgun Gothic"/>
        </w:rPr>
        <w:t xml:space="preserve">the </w:t>
      </w:r>
      <w:r w:rsidR="00770C92" w:rsidRPr="004F0D45">
        <w:rPr>
          <w:rFonts w:eastAsia="Malgun Gothic"/>
        </w:rPr>
        <w:t>existing specification has the flexibility, in the most part, to configure separate CSI reporting for SBFD and non-SBFD slots/symbols.</w:t>
      </w:r>
      <w:r w:rsidR="00B95DC2" w:rsidRPr="004F0D45">
        <w:rPr>
          <w:rFonts w:eastAsia="Malgun Gothic"/>
        </w:rPr>
        <w:t xml:space="preserve"> The higher layer parameter </w:t>
      </w:r>
      <w:proofErr w:type="spellStart"/>
      <w:r w:rsidR="00B95DC2" w:rsidRPr="004F0D45">
        <w:rPr>
          <w:rFonts w:eastAsia="Malgun Gothic"/>
          <w:i/>
          <w:iCs/>
        </w:rPr>
        <w:t>timeRestrictionForChannelMeasurements</w:t>
      </w:r>
      <w:proofErr w:type="spellEnd"/>
      <w:r w:rsidR="008572EC" w:rsidRPr="004F0D45">
        <w:rPr>
          <w:rFonts w:eastAsia="Malgun Gothic"/>
          <w:i/>
          <w:iCs/>
        </w:rPr>
        <w:t xml:space="preserve"> </w:t>
      </w:r>
      <w:r w:rsidR="008572EC" w:rsidRPr="004F0D45">
        <w:rPr>
          <w:rFonts w:eastAsia="Malgun Gothic"/>
        </w:rPr>
        <w:t xml:space="preserve">(or </w:t>
      </w:r>
      <w:proofErr w:type="spellStart"/>
      <w:r w:rsidR="008572EC" w:rsidRPr="004F0D45">
        <w:rPr>
          <w:rFonts w:eastAsia="Malgun Gothic"/>
          <w:i/>
          <w:iCs/>
        </w:rPr>
        <w:t>timeRestrictionForInterferenceMeasurements</w:t>
      </w:r>
      <w:proofErr w:type="spellEnd"/>
      <w:r w:rsidR="008572EC" w:rsidRPr="004F0D45">
        <w:rPr>
          <w:rFonts w:eastAsia="Malgun Gothic"/>
        </w:rPr>
        <w:t>) defines a restrict</w:t>
      </w:r>
      <w:r w:rsidR="005F4C87" w:rsidRPr="004F0D45">
        <w:rPr>
          <w:rFonts w:eastAsia="Malgun Gothic"/>
        </w:rPr>
        <w:t>ion</w:t>
      </w:r>
      <w:r w:rsidR="008572EC" w:rsidRPr="004F0D45">
        <w:rPr>
          <w:rFonts w:eastAsia="Malgun Gothic"/>
        </w:rPr>
        <w:t xml:space="preserve"> on the</w:t>
      </w:r>
      <w:r w:rsidR="005F4C87" w:rsidRPr="004F0D45">
        <w:rPr>
          <w:rFonts w:eastAsia="Malgun Gothic"/>
        </w:rPr>
        <w:t xml:space="preserve"> </w:t>
      </w:r>
      <w:r w:rsidR="008572EC" w:rsidRPr="004F0D45">
        <w:rPr>
          <w:rFonts w:eastAsia="Malgun Gothic"/>
        </w:rPr>
        <w:t>time domain resources used for channel (or interference) measurements. When this parameter is set to “</w:t>
      </w:r>
      <w:r w:rsidR="008572EC" w:rsidRPr="004F0D45">
        <w:rPr>
          <w:rFonts w:eastAsia="Malgun Gothic"/>
          <w:i/>
          <w:iCs/>
        </w:rPr>
        <w:t>configured</w:t>
      </w:r>
      <w:r w:rsidR="008572EC" w:rsidRPr="004F0D45">
        <w:rPr>
          <w:rFonts w:eastAsia="Malgun Gothic"/>
        </w:rPr>
        <w:t>”, chann</w:t>
      </w:r>
      <w:r w:rsidR="00E44F5D" w:rsidRPr="004F0D45">
        <w:rPr>
          <w:rFonts w:eastAsia="Malgun Gothic"/>
        </w:rPr>
        <w:t>el/interference measurement is restricted to resources within a single slot (</w:t>
      </w:r>
      <w:r w:rsidR="00D809B9" w:rsidRPr="004F0D45">
        <w:rPr>
          <w:rFonts w:eastAsia="Malgun Gothic"/>
        </w:rPr>
        <w:t>the “</w:t>
      </w:r>
      <w:r w:rsidR="00E44F5D" w:rsidRPr="004F0D45">
        <w:rPr>
          <w:rFonts w:eastAsia="Malgun Gothic"/>
          <w:i/>
          <w:iCs/>
        </w:rPr>
        <w:t>reference resource</w:t>
      </w:r>
      <w:r w:rsidR="00D809B9" w:rsidRPr="004F0D45">
        <w:rPr>
          <w:rFonts w:eastAsia="Malgun Gothic"/>
        </w:rPr>
        <w:t>”</w:t>
      </w:r>
      <w:r w:rsidR="00E44F5D" w:rsidRPr="004F0D45">
        <w:rPr>
          <w:rFonts w:eastAsia="Malgun Gothic"/>
        </w:rPr>
        <w:t>), which can be either a SBFD or a non-SBFD slot.</w:t>
      </w:r>
      <w:r w:rsidR="00EA29EB" w:rsidRPr="004F0D45">
        <w:rPr>
          <w:rFonts w:eastAsia="Malgun Gothic"/>
        </w:rPr>
        <w:t xml:space="preserve"> In this case it </w:t>
      </w:r>
      <w:r w:rsidR="00BE71A7" w:rsidRPr="004F0D45">
        <w:rPr>
          <w:rFonts w:eastAsia="Malgun Gothic"/>
        </w:rPr>
        <w:t xml:space="preserve">is </w:t>
      </w:r>
      <w:r w:rsidR="00EA29EB" w:rsidRPr="004F0D45">
        <w:rPr>
          <w:rFonts w:eastAsia="Malgun Gothic"/>
        </w:rPr>
        <w:t xml:space="preserve">possible to achieve slot-specific CSI reporting using the current specification since each CSI report is based on measurements on a single slot. </w:t>
      </w:r>
    </w:p>
    <w:p w14:paraId="3F47E580" w14:textId="1017583D" w:rsidR="00277130" w:rsidRPr="004F0D45" w:rsidRDefault="005F4C87" w:rsidP="005D664D">
      <w:pPr>
        <w:jc w:val="both"/>
        <w:rPr>
          <w:rFonts w:eastAsia="Malgun Gothic"/>
        </w:rPr>
      </w:pPr>
      <w:r w:rsidRPr="004F0D45">
        <w:rPr>
          <w:rFonts w:eastAsia="Malgun Gothic"/>
        </w:rPr>
        <w:t>When the parameter is set to “</w:t>
      </w:r>
      <w:r w:rsidRPr="004F0D45">
        <w:rPr>
          <w:rFonts w:eastAsia="Malgun Gothic"/>
          <w:i/>
          <w:iCs/>
        </w:rPr>
        <w:t>not configured</w:t>
      </w:r>
      <w:r w:rsidRPr="004F0D45">
        <w:rPr>
          <w:rFonts w:eastAsia="Malgun Gothic"/>
        </w:rPr>
        <w:t>”, channel/interference measurements can be across multiple slots. However, the current specification can configure slot-specific CSI-RS reporting configurations for periodic/semi-persistent CSI-RS</w:t>
      </w:r>
      <w:r w:rsidR="007D6031" w:rsidRPr="004F0D45">
        <w:rPr>
          <w:rFonts w:eastAsia="Malgun Gothic"/>
        </w:rPr>
        <w:t xml:space="preserve"> (Option 1 above)</w:t>
      </w:r>
      <w:r w:rsidRPr="004F0D45">
        <w:rPr>
          <w:rFonts w:eastAsia="Malgun Gothic"/>
        </w:rPr>
        <w:t xml:space="preserve">. In the case of periodic CSI reporting, multiple reporting configurations/settings can be configured by higher layer signalling and the UE can be configured to apply one CSI reporting configuration to each slot type. </w:t>
      </w:r>
      <w:r w:rsidR="0074417B" w:rsidRPr="004F0D45">
        <w:rPr>
          <w:rFonts w:eastAsia="Malgun Gothic"/>
        </w:rPr>
        <w:t>For semi-persistent CSI reporting on PUSCH, multiple CSI trigger states can be configured, where each trigger state is linked to a single CSI reporting configuration/setting. To enable slot-specific CSI reporting in SBFD systems, separate DCIs can be used to activate a separate trigger state for each slot type. Finally, for semi-persistent reporting on PUCCH, multiple CSI reporting configurations/settings can be configured in the associated MAC CE. To enable slot-specific semi-persistent CSI reporting on PUCCH,</w:t>
      </w:r>
      <w:r w:rsidR="00277130" w:rsidRPr="004F0D45">
        <w:rPr>
          <w:rFonts w:eastAsia="Malgun Gothic"/>
        </w:rPr>
        <w:t xml:space="preserve"> two reporting configuration can be activated for each UE, one reporting configuration for measurement and reporting on each slot type. </w:t>
      </w:r>
      <w:r w:rsidR="0074417B" w:rsidRPr="004F0D45">
        <w:rPr>
          <w:rFonts w:eastAsia="Malgun Gothic"/>
        </w:rPr>
        <w:t xml:space="preserve"> </w:t>
      </w:r>
    </w:p>
    <w:p w14:paraId="7FB9DC2D" w14:textId="76E95615" w:rsidR="00477995" w:rsidRPr="004F0D45" w:rsidRDefault="006A1AD9" w:rsidP="00F758FD">
      <w:pPr>
        <w:jc w:val="both"/>
        <w:rPr>
          <w:rFonts w:eastAsia="Malgun Gothic"/>
        </w:rPr>
      </w:pPr>
      <w:r w:rsidRPr="004F0D45">
        <w:rPr>
          <w:rFonts w:eastAsia="Malgun Gothic"/>
        </w:rPr>
        <w:t>Based on the</w:t>
      </w:r>
      <w:r w:rsidR="0074417B" w:rsidRPr="004F0D45">
        <w:rPr>
          <w:rFonts w:eastAsia="Malgun Gothic"/>
        </w:rPr>
        <w:t xml:space="preserve"> above</w:t>
      </w:r>
      <w:r w:rsidRPr="004F0D45">
        <w:rPr>
          <w:rFonts w:eastAsia="Malgun Gothic"/>
        </w:rPr>
        <w:t xml:space="preserve"> discussions</w:t>
      </w:r>
      <w:r w:rsidR="0074417B" w:rsidRPr="004F0D45">
        <w:rPr>
          <w:rFonts w:eastAsia="Malgun Gothic"/>
        </w:rPr>
        <w:t>, the current specification</w:t>
      </w:r>
      <w:r w:rsidR="000B6FB9" w:rsidRPr="004F0D45">
        <w:rPr>
          <w:rFonts w:eastAsia="Malgun Gothic"/>
        </w:rPr>
        <w:t xml:space="preserve"> can</w:t>
      </w:r>
      <w:r w:rsidR="0074417B" w:rsidRPr="004F0D45">
        <w:rPr>
          <w:rFonts w:eastAsia="Malgun Gothic"/>
        </w:rPr>
        <w:t xml:space="preserve"> configure separate CSI reporting for SBFD and non-SBFD </w:t>
      </w:r>
      <w:r w:rsidRPr="004F0D45">
        <w:rPr>
          <w:rFonts w:eastAsia="Malgun Gothic"/>
        </w:rPr>
        <w:t>slots/</w:t>
      </w:r>
      <w:r w:rsidR="0074417B" w:rsidRPr="004F0D45">
        <w:rPr>
          <w:rFonts w:eastAsia="Malgun Gothic"/>
        </w:rPr>
        <w:t xml:space="preserve">symbols. </w:t>
      </w:r>
      <w:r w:rsidR="00876053" w:rsidRPr="004F0D45">
        <w:rPr>
          <w:rFonts w:eastAsia="Malgun Gothic"/>
        </w:rPr>
        <w:t>We prefer Option 1-1 since it can enable slot specific CSI reporting and can readily be supported by current specification with no or minimum enhancements.</w:t>
      </w:r>
      <w:r w:rsidR="00477995" w:rsidRPr="004F0D45">
        <w:rPr>
          <w:rFonts w:eastAsia="Malgun Gothic"/>
        </w:rPr>
        <w:t xml:space="preserve"> Moreover, evaluation results in [</w:t>
      </w:r>
      <w:r w:rsidR="002B6302" w:rsidRPr="004F0D45">
        <w:rPr>
          <w:rFonts w:eastAsia="Malgun Gothic"/>
        </w:rPr>
        <w:t>5</w:t>
      </w:r>
      <w:r w:rsidR="00477995" w:rsidRPr="004F0D45">
        <w:rPr>
          <w:rFonts w:eastAsia="Malgun Gothic"/>
        </w:rPr>
        <w:t>] show that using</w:t>
      </w:r>
      <w:r w:rsidR="00477995" w:rsidRPr="004F0D45">
        <w:rPr>
          <w:bCs/>
          <w:iCs/>
          <w:lang w:eastAsia="ko-KR"/>
        </w:rPr>
        <w:t xml:space="preserve"> separate CSI reporting for SBFD and non-SBFD slots/symbols leads to a 5-10% improvement in performance compared to using the same CSI reporting. </w:t>
      </w:r>
    </w:p>
    <w:p w14:paraId="447DAB43" w14:textId="4403DE40" w:rsidR="00F2041D" w:rsidRPr="004F0D45" w:rsidRDefault="00F2041D" w:rsidP="00F758FD">
      <w:pPr>
        <w:jc w:val="both"/>
        <w:rPr>
          <w:rFonts w:eastAsia="Malgun Gothic"/>
        </w:rPr>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F230AB" w:rsidRPr="004F0D45">
        <w:rPr>
          <w:b/>
          <w:bCs/>
          <w:i/>
          <w:iCs/>
          <w:noProof/>
        </w:rPr>
        <w:t>13</w:t>
      </w:r>
      <w:r w:rsidRPr="004F0D45">
        <w:rPr>
          <w:b/>
          <w:bCs/>
          <w:i/>
          <w:iCs/>
        </w:rPr>
        <w:fldChar w:fldCharType="end"/>
      </w:r>
      <w:r w:rsidRPr="004F0D45">
        <w:rPr>
          <w:b/>
          <w:bCs/>
          <w:i/>
          <w:iCs/>
        </w:rPr>
        <w:t xml:space="preserve">: </w:t>
      </w:r>
      <w:bookmarkStart w:id="70" w:name="_Ref131537355"/>
      <w:r w:rsidRPr="004F0D45">
        <w:rPr>
          <w:b/>
          <w:bCs/>
          <w:i/>
          <w:iCs/>
        </w:rPr>
        <w:t xml:space="preserve">For periodic/semi-persistent CSI reporting, the existing specification can support separate CSI reporting </w:t>
      </w:r>
      <w:r w:rsidR="000A218D" w:rsidRPr="004F0D45">
        <w:rPr>
          <w:b/>
          <w:bCs/>
          <w:i/>
          <w:iCs/>
        </w:rPr>
        <w:t>for SBFD symbols and non-SBFD symbols</w:t>
      </w:r>
      <w:r w:rsidRPr="004F0D45">
        <w:rPr>
          <w:b/>
          <w:bCs/>
          <w:i/>
          <w:iCs/>
        </w:rPr>
        <w:t>.</w:t>
      </w:r>
      <w:bookmarkEnd w:id="70"/>
    </w:p>
    <w:p w14:paraId="36AF0C8A" w14:textId="2C2EF8EA" w:rsidR="003C2798" w:rsidRPr="004F0D45" w:rsidRDefault="000A218D" w:rsidP="005D664D">
      <w:pPr>
        <w:shd w:val="clear" w:color="auto" w:fill="FFFFFF"/>
        <w:spacing w:after="120"/>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22</w:t>
      </w:r>
      <w:r w:rsidRPr="004F0D45">
        <w:rPr>
          <w:b/>
          <w:bCs/>
          <w:i/>
          <w:iCs/>
        </w:rPr>
        <w:fldChar w:fldCharType="end"/>
      </w:r>
      <w:r w:rsidRPr="004F0D45">
        <w:rPr>
          <w:b/>
          <w:bCs/>
          <w:i/>
          <w:iCs/>
        </w:rPr>
        <w:t>:</w:t>
      </w:r>
      <w:r w:rsidR="00C42D84" w:rsidRPr="004F0D45">
        <w:rPr>
          <w:b/>
          <w:bCs/>
          <w:i/>
          <w:iCs/>
        </w:rPr>
        <w:t xml:space="preserve"> </w:t>
      </w:r>
      <w:bookmarkStart w:id="71" w:name="_Ref131537687"/>
      <w:r w:rsidR="001118AE" w:rsidRPr="004F0D45">
        <w:rPr>
          <w:b/>
          <w:bCs/>
          <w:i/>
          <w:iCs/>
        </w:rPr>
        <w:t>Support Option 1-1 f</w:t>
      </w:r>
      <w:r w:rsidR="007565EA" w:rsidRPr="004F0D45">
        <w:rPr>
          <w:b/>
          <w:bCs/>
          <w:i/>
          <w:iCs/>
        </w:rPr>
        <w:t>or CSI report associated with periodic/semi-persistent CSI-RS</w:t>
      </w:r>
      <w:r w:rsidR="001118AE" w:rsidRPr="004F0D45">
        <w:rPr>
          <w:b/>
          <w:bCs/>
          <w:i/>
          <w:iCs/>
        </w:rPr>
        <w:t>.</w:t>
      </w:r>
      <w:r w:rsidR="007565EA" w:rsidRPr="004F0D45">
        <w:rPr>
          <w:b/>
          <w:bCs/>
          <w:i/>
          <w:iCs/>
        </w:rPr>
        <w:t xml:space="preserve"> </w:t>
      </w:r>
      <w:r w:rsidR="009C651B" w:rsidRPr="004F0D45">
        <w:rPr>
          <w:b/>
          <w:bCs/>
          <w:i/>
          <w:iCs/>
        </w:rPr>
        <w:t xml:space="preserve"> </w:t>
      </w:r>
      <w:r w:rsidR="00C42D84" w:rsidRPr="004F0D45">
        <w:rPr>
          <w:b/>
          <w:bCs/>
          <w:i/>
          <w:iCs/>
        </w:rPr>
        <w:t xml:space="preserve"> </w:t>
      </w:r>
      <w:bookmarkEnd w:id="71"/>
      <w:r w:rsidR="00C42D84" w:rsidRPr="004F0D45">
        <w:rPr>
          <w:b/>
          <w:bCs/>
          <w:i/>
          <w:iCs/>
        </w:rPr>
        <w:t xml:space="preserve"> </w:t>
      </w:r>
      <w:r w:rsidRPr="004F0D45">
        <w:rPr>
          <w:b/>
          <w:bCs/>
          <w:i/>
          <w:iCs/>
        </w:rPr>
        <w:t xml:space="preserve">  </w:t>
      </w:r>
    </w:p>
    <w:p w14:paraId="6B2991F7" w14:textId="3C949A4A" w:rsidR="00E91220" w:rsidRPr="004F0D45" w:rsidRDefault="00E91220" w:rsidP="005D664D">
      <w:pPr>
        <w:pStyle w:val="Heading3"/>
        <w:jc w:val="both"/>
      </w:pPr>
      <w:r w:rsidRPr="004F0D45">
        <w:t xml:space="preserve">MCS </w:t>
      </w:r>
      <w:r w:rsidR="00D670FB" w:rsidRPr="004F0D45">
        <w:t>s</w:t>
      </w:r>
      <w:r w:rsidRPr="004F0D45">
        <w:t xml:space="preserve">election in SBFD </w:t>
      </w:r>
    </w:p>
    <w:p w14:paraId="3259971C" w14:textId="6806D40E" w:rsidR="00E91220" w:rsidRPr="004F0D45" w:rsidRDefault="00E91220" w:rsidP="005D664D">
      <w:pPr>
        <w:jc w:val="both"/>
        <w:rPr>
          <w:lang w:val="en-US"/>
        </w:rPr>
      </w:pPr>
      <w:r w:rsidRPr="004F0D45">
        <w:t xml:space="preserve">In the current specification a single MCS is configured for all slots </w:t>
      </w:r>
      <w:r w:rsidR="00FB2D32" w:rsidRPr="004F0D45">
        <w:t>of a multi-slot</w:t>
      </w:r>
      <w:r w:rsidRPr="004F0D45">
        <w:t xml:space="preserve"> DL or UL transmission. For example, the higher layer parameter </w:t>
      </w:r>
      <w:proofErr w:type="spellStart"/>
      <w:r w:rsidRPr="004F0D45">
        <w:rPr>
          <w:i/>
          <w:iCs/>
        </w:rPr>
        <w:t>mcsTable</w:t>
      </w:r>
      <w:proofErr w:type="spellEnd"/>
      <w:r w:rsidRPr="004F0D45">
        <w:rPr>
          <w:i/>
          <w:iCs/>
        </w:rPr>
        <w:t xml:space="preserve"> </w:t>
      </w:r>
      <w:r w:rsidRPr="004F0D45">
        <w:rPr>
          <w:lang w:val="en-US"/>
        </w:rPr>
        <w:t xml:space="preserve">within </w:t>
      </w:r>
      <w:r w:rsidRPr="004F0D45">
        <w:rPr>
          <w:i/>
          <w:iCs/>
          <w:lang w:val="en-US"/>
        </w:rPr>
        <w:t>SPS-Config</w:t>
      </w:r>
      <w:r w:rsidRPr="004F0D45">
        <w:rPr>
          <w:lang w:val="en-US"/>
        </w:rPr>
        <w:t xml:space="preserve"> configures the MSC table to be used for SPS transmission. The selected MCS is applied for all slots within the configured SPS periodicity. This is similar for other </w:t>
      </w:r>
      <w:r w:rsidRPr="004F0D45">
        <w:t xml:space="preserve">multi-slot </w:t>
      </w:r>
      <w:r w:rsidRPr="004F0D45">
        <w:rPr>
          <w:lang w:val="en-US"/>
        </w:rPr>
        <w:t>transmissions such as PDSCH with repetition, CG PUSCH and DG PUSCH with repetition. However, for SBFD systems the two slot types</w:t>
      </w:r>
      <w:r w:rsidR="00FB2D32" w:rsidRPr="004F0D45">
        <w:rPr>
          <w:lang w:val="en-US"/>
        </w:rPr>
        <w:t xml:space="preserve"> of a multi-slot</w:t>
      </w:r>
      <w:r w:rsidRPr="004F0D45">
        <w:rPr>
          <w:lang w:val="en-US"/>
        </w:rPr>
        <w:t xml:space="preserve"> transmission will experience different interference</w:t>
      </w:r>
      <w:r w:rsidR="00A34E96" w:rsidRPr="004F0D45">
        <w:rPr>
          <w:lang w:val="en-US"/>
        </w:rPr>
        <w:t>s</w:t>
      </w:r>
      <w:r w:rsidRPr="004F0D45">
        <w:rPr>
          <w:lang w:val="en-US"/>
        </w:rPr>
        <w:t xml:space="preserve">. </w:t>
      </w:r>
      <w:r w:rsidRPr="004F0D45">
        <w:t xml:space="preserve">Using the existing specification for SBFD, the MCS can be selected to adapt to the link quality on either the </w:t>
      </w:r>
      <w:r w:rsidR="002D3F12" w:rsidRPr="004F0D45">
        <w:t>non-SBFD</w:t>
      </w:r>
      <w:r w:rsidRPr="004F0D45">
        <w:t xml:space="preserve"> slots/symbols or the SBFD slots/symbols. MCS selection based on the </w:t>
      </w:r>
      <w:r w:rsidR="00951434" w:rsidRPr="004F0D45">
        <w:t xml:space="preserve">non-SBFD </w:t>
      </w:r>
      <w:r w:rsidRPr="004F0D45">
        <w:t>slots/symbols is optimistic due to the lower interference distribution.</w:t>
      </w:r>
      <w:r w:rsidRPr="004F0D45">
        <w:rPr>
          <w:lang w:val="en-US"/>
        </w:rPr>
        <w:t xml:space="preserve"> As a result, the</w:t>
      </w:r>
      <w:r w:rsidRPr="004F0D45">
        <w:t xml:space="preserve"> selected MCS may not be achievable on the </w:t>
      </w:r>
      <w:r w:rsidRPr="004F0D45">
        <w:rPr>
          <w:lang w:val="en-US"/>
        </w:rPr>
        <w:t xml:space="preserve">SBFD slots/symbols, which will lead to poor performance on SBFD slots/symbols (e.g., higher BLER). On the other hand, MCS selection based on SBFD slots/symbols is conservative due to the high interference level, which can lead to the transmission of a smaller TB size (lower data rate) on </w:t>
      </w:r>
      <w:r w:rsidR="00951434" w:rsidRPr="004F0D45">
        <w:rPr>
          <w:lang w:val="en-US"/>
        </w:rPr>
        <w:t>non-SBFD</w:t>
      </w:r>
      <w:r w:rsidRPr="004F0D45">
        <w:rPr>
          <w:lang w:val="en-US"/>
        </w:rPr>
        <w:t xml:space="preserve"> slots, even though a higher TB size can be accommodated. </w:t>
      </w:r>
      <w:r w:rsidRPr="004F0D45">
        <w:t xml:space="preserve">This shows that using the existing specification for MCS selection in SBFD systems can negatively impact system performance. </w:t>
      </w:r>
      <w:r w:rsidRPr="004F0D45">
        <w:rPr>
          <w:lang w:val="en-US"/>
        </w:rPr>
        <w:t xml:space="preserve">   </w:t>
      </w:r>
    </w:p>
    <w:p w14:paraId="3206E703" w14:textId="2BCEBA9B" w:rsidR="00E91220" w:rsidRPr="004F0D45" w:rsidRDefault="00E91220" w:rsidP="005D664D">
      <w:pPr>
        <w:jc w:val="both"/>
        <w:rPr>
          <w:lang w:val="en-US"/>
        </w:rPr>
      </w:pPr>
      <w:r w:rsidRPr="004F0D45">
        <w:t xml:space="preserve">To enable flexibility in MCS selection, two MCSs can be provided for </w:t>
      </w:r>
      <w:r w:rsidR="00FB2D32" w:rsidRPr="004F0D45">
        <w:t>multi-slot</w:t>
      </w:r>
      <w:r w:rsidRPr="004F0D45">
        <w:t xml:space="preserve"> DL</w:t>
      </w:r>
      <w:r w:rsidR="00A34E96" w:rsidRPr="004F0D45">
        <w:t>/</w:t>
      </w:r>
      <w:r w:rsidRPr="004F0D45">
        <w:t xml:space="preserve"> UL transmissions where one MCS is applied to</w:t>
      </w:r>
      <w:r w:rsidR="00951434" w:rsidRPr="004F0D45">
        <w:t xml:space="preserve"> non-SBFD</w:t>
      </w:r>
      <w:r w:rsidRPr="004F0D45">
        <w:t xml:space="preserve"> slots/symbols and </w:t>
      </w:r>
      <w:r w:rsidR="00FB2D32" w:rsidRPr="004F0D45">
        <w:t>the other</w:t>
      </w:r>
      <w:r w:rsidRPr="004F0D45">
        <w:t xml:space="preserve"> MCS is applied to </w:t>
      </w:r>
      <w:r w:rsidRPr="004F0D45">
        <w:rPr>
          <w:lang w:val="en-US"/>
        </w:rPr>
        <w:t>SBFD slots/symbols. Therefore, it is important to bring enhancements to MCS selection to allow adaptation to slot level interference distribution in SBFD.</w:t>
      </w:r>
    </w:p>
    <w:p w14:paraId="4DD92FC3" w14:textId="6925F973" w:rsidR="00E91220" w:rsidRPr="004F0D45" w:rsidRDefault="00E91220" w:rsidP="00A34E96">
      <w:pPr>
        <w:spacing w:after="60"/>
        <w:jc w:val="both"/>
        <w:rPr>
          <w:b/>
          <w:bCs/>
          <w:i/>
          <w:iCs/>
        </w:rPr>
      </w:pPr>
      <w:r w:rsidRPr="004F0D45">
        <w:rPr>
          <w:b/>
          <w:bCs/>
          <w:i/>
          <w:iCs/>
        </w:rPr>
        <w:lastRenderedPageBreak/>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F230AB" w:rsidRPr="004F0D45">
        <w:rPr>
          <w:b/>
          <w:bCs/>
          <w:i/>
          <w:iCs/>
          <w:noProof/>
        </w:rPr>
        <w:t>14</w:t>
      </w:r>
      <w:r w:rsidRPr="004F0D45">
        <w:rPr>
          <w:b/>
          <w:bCs/>
          <w:i/>
          <w:iCs/>
        </w:rPr>
        <w:fldChar w:fldCharType="end"/>
      </w:r>
      <w:r w:rsidRPr="004F0D45">
        <w:rPr>
          <w:b/>
          <w:bCs/>
          <w:i/>
          <w:iCs/>
        </w:rPr>
        <w:t xml:space="preserve">: </w:t>
      </w:r>
      <w:bookmarkStart w:id="72" w:name="_Ref127456895"/>
      <w:r w:rsidRPr="004F0D45">
        <w:rPr>
          <w:b/>
          <w:bCs/>
          <w:i/>
          <w:iCs/>
        </w:rPr>
        <w:t>Configuring a single MCS for</w:t>
      </w:r>
      <w:r w:rsidR="005F2B27" w:rsidRPr="004F0D45">
        <w:rPr>
          <w:b/>
          <w:bCs/>
          <w:i/>
          <w:iCs/>
        </w:rPr>
        <w:t xml:space="preserve"> multi-slot</w:t>
      </w:r>
      <w:r w:rsidRPr="004F0D45">
        <w:rPr>
          <w:b/>
          <w:bCs/>
          <w:i/>
          <w:iCs/>
        </w:rPr>
        <w:t xml:space="preserve"> transmissions in SBFD systems will negatively impact system performance since it has two slot types with different interference levels</w:t>
      </w:r>
      <w:bookmarkEnd w:id="72"/>
    </w:p>
    <w:p w14:paraId="21E8B207" w14:textId="01C81A89" w:rsidR="00E91220" w:rsidRPr="004F0D45" w:rsidRDefault="00E91220" w:rsidP="005D664D">
      <w:pPr>
        <w:jc w:val="both"/>
        <w:rPr>
          <w:lang w:val="en-U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23</w:t>
      </w:r>
      <w:r w:rsidRPr="004F0D45">
        <w:rPr>
          <w:b/>
          <w:bCs/>
          <w:i/>
          <w:iCs/>
        </w:rPr>
        <w:fldChar w:fldCharType="end"/>
      </w:r>
      <w:r w:rsidRPr="004F0D45">
        <w:rPr>
          <w:rFonts w:cstheme="minorHAnsi"/>
          <w:b/>
          <w:bCs/>
          <w:i/>
          <w:iCs/>
        </w:rPr>
        <w:t xml:space="preserve">: </w:t>
      </w:r>
      <w:bookmarkStart w:id="73" w:name="_Ref127456608"/>
      <w:r w:rsidRPr="004F0D45">
        <w:rPr>
          <w:b/>
          <w:bCs/>
          <w:i/>
          <w:iCs/>
        </w:rPr>
        <w:t>Study the feasibility of enabling two MCSs based on slot type</w:t>
      </w:r>
      <w:bookmarkEnd w:id="73"/>
      <w:r w:rsidRPr="004F0D45">
        <w:rPr>
          <w:b/>
          <w:bCs/>
          <w:i/>
          <w:iCs/>
        </w:rPr>
        <w:t xml:space="preserve">  </w:t>
      </w:r>
      <w:r w:rsidRPr="004F0D45">
        <w:rPr>
          <w:lang w:val="en-US"/>
        </w:rPr>
        <w:t xml:space="preserve"> </w:t>
      </w:r>
    </w:p>
    <w:p w14:paraId="0F95F6A7" w14:textId="15FE919D" w:rsidR="00172BE6" w:rsidRPr="004F0D45" w:rsidRDefault="00190BF0" w:rsidP="002D4830">
      <w:pPr>
        <w:pStyle w:val="Heading3"/>
      </w:pPr>
      <w:r w:rsidRPr="004F0D45">
        <w:t>FDRA</w:t>
      </w:r>
      <w:r w:rsidR="00172BE6" w:rsidRPr="004F0D45">
        <w:t xml:space="preserve"> for multi-slot UL transmissions </w:t>
      </w:r>
    </w:p>
    <w:p w14:paraId="274B2529" w14:textId="6A6609F2" w:rsidR="00713932" w:rsidRPr="004F0D45" w:rsidRDefault="00D04E76" w:rsidP="005D664D">
      <w:pPr>
        <w:overflowPunct/>
        <w:autoSpaceDE/>
        <w:adjustRightInd/>
        <w:jc w:val="both"/>
        <w:textAlignment w:val="center"/>
        <w:rPr>
          <w:rFonts w:eastAsia="Times New Roman"/>
          <w:lang w:eastAsia="da-DK"/>
        </w:rPr>
      </w:pPr>
      <w:r w:rsidRPr="004F0D45">
        <w:rPr>
          <w:rFonts w:eastAsia="Times New Roman"/>
          <w:lang w:eastAsia="da-DK"/>
        </w:rPr>
        <w:t xml:space="preserve">In the current specification, a single FDRA is configured for all slots </w:t>
      </w:r>
      <w:r w:rsidR="004315A9" w:rsidRPr="004F0D45">
        <w:rPr>
          <w:rFonts w:eastAsia="Times New Roman"/>
          <w:lang w:eastAsia="da-DK"/>
        </w:rPr>
        <w:t>of a</w:t>
      </w:r>
      <w:r w:rsidRPr="004F0D45">
        <w:rPr>
          <w:rFonts w:eastAsia="Times New Roman"/>
          <w:lang w:eastAsia="da-DK"/>
        </w:rPr>
        <w:t xml:space="preserve"> multi-slot UL transmission</w:t>
      </w:r>
      <w:r w:rsidR="00CA48E3" w:rsidRPr="004F0D45">
        <w:rPr>
          <w:rFonts w:eastAsia="Times New Roman"/>
          <w:lang w:eastAsia="da-DK"/>
        </w:rPr>
        <w:t>, such as CG PUSCH, DG PUSCH repetition,</w:t>
      </w:r>
      <w:r w:rsidR="002B6AD4" w:rsidRPr="004F0D45">
        <w:rPr>
          <w:rFonts w:eastAsia="Times New Roman"/>
          <w:lang w:eastAsia="da-DK"/>
        </w:rPr>
        <w:t xml:space="preserve"> PUSCH transmission over multiple slots (TBoMS),</w:t>
      </w:r>
      <w:r w:rsidR="00CA48E3" w:rsidRPr="004F0D45">
        <w:rPr>
          <w:rFonts w:eastAsia="Times New Roman"/>
          <w:lang w:eastAsia="da-DK"/>
        </w:rPr>
        <w:t xml:space="preserve"> periodic/semi-persistent PUSCH</w:t>
      </w:r>
      <w:r w:rsidR="00A911A0" w:rsidRPr="004F0D45">
        <w:rPr>
          <w:rFonts w:eastAsia="Times New Roman"/>
          <w:lang w:eastAsia="da-DK"/>
        </w:rPr>
        <w:t xml:space="preserve">, </w:t>
      </w:r>
      <w:r w:rsidR="00A911A0" w:rsidRPr="004F0D45">
        <w:t>periodic/semi-persistent SRS</w:t>
      </w:r>
      <w:r w:rsidR="00CA48E3" w:rsidRPr="004F0D45">
        <w:rPr>
          <w:rFonts w:eastAsia="Times New Roman"/>
          <w:lang w:eastAsia="da-DK"/>
        </w:rPr>
        <w:t xml:space="preserve"> and PUCCH repetition. For instance, in the case of Type-1 CG PUSCH the FDRA is fully configured by RRC and used across all slots within the defined periodicity. </w:t>
      </w:r>
      <w:r w:rsidR="000E4601" w:rsidRPr="004F0D45">
        <w:rPr>
          <w:rFonts w:eastAsia="Times New Roman"/>
          <w:lang w:eastAsia="da-DK"/>
        </w:rPr>
        <w:t xml:space="preserve">However, for SBFD the transmission may be across both </w:t>
      </w:r>
      <w:r w:rsidR="00E328D7" w:rsidRPr="004F0D45">
        <w:rPr>
          <w:rFonts w:eastAsia="Times New Roman"/>
          <w:lang w:eastAsia="da-DK"/>
        </w:rPr>
        <w:t>SBFD</w:t>
      </w:r>
      <w:r w:rsidR="000E4601" w:rsidRPr="004F0D45">
        <w:rPr>
          <w:rFonts w:eastAsia="Times New Roman"/>
          <w:lang w:eastAsia="da-DK"/>
        </w:rPr>
        <w:t xml:space="preserve"> and </w:t>
      </w:r>
      <w:r w:rsidR="00FC2370" w:rsidRPr="004F0D45">
        <w:rPr>
          <w:rFonts w:eastAsia="Times New Roman"/>
          <w:lang w:eastAsia="da-DK"/>
        </w:rPr>
        <w:t>non-</w:t>
      </w:r>
      <w:r w:rsidR="000E4601" w:rsidRPr="004F0D45">
        <w:rPr>
          <w:rFonts w:eastAsia="Times New Roman"/>
          <w:lang w:eastAsia="da-DK"/>
        </w:rPr>
        <w:t>SBFD slots/symbols. As a result, periodic transmission from</w:t>
      </w:r>
      <w:r w:rsidR="00E328D7" w:rsidRPr="004F0D45">
        <w:rPr>
          <w:rFonts w:eastAsia="Times New Roman"/>
          <w:lang w:eastAsia="da-DK"/>
        </w:rPr>
        <w:t xml:space="preserve"> non-SBFD</w:t>
      </w:r>
      <w:r w:rsidR="000E4601" w:rsidRPr="004F0D45">
        <w:rPr>
          <w:rFonts w:eastAsia="Times New Roman"/>
          <w:lang w:eastAsia="da-DK"/>
        </w:rPr>
        <w:t xml:space="preserve"> slots may overlap with the DL subbands in SBFD slot</w:t>
      </w:r>
      <w:r w:rsidR="004315A9" w:rsidRPr="004F0D45">
        <w:rPr>
          <w:rFonts w:eastAsia="Times New Roman"/>
          <w:lang w:eastAsia="da-DK"/>
        </w:rPr>
        <w:t>s</w:t>
      </w:r>
      <w:r w:rsidR="000E4601" w:rsidRPr="004F0D45">
        <w:rPr>
          <w:rFonts w:eastAsia="Times New Roman"/>
          <w:lang w:eastAsia="da-DK"/>
        </w:rPr>
        <w:t xml:space="preserve"> as shown in</w:t>
      </w:r>
      <w:r w:rsidR="005D2AB4" w:rsidRPr="004F0D45">
        <w:rPr>
          <w:rFonts w:eastAsia="Times New Roman"/>
          <w:lang w:eastAsia="da-DK"/>
        </w:rPr>
        <w:t xml:space="preserve"> </w:t>
      </w:r>
      <w:r w:rsidR="00800C4A" w:rsidRPr="004F0D45">
        <w:rPr>
          <w:rFonts w:eastAsia="Times New Roman"/>
          <w:lang w:eastAsia="da-DK"/>
        </w:rPr>
        <w:fldChar w:fldCharType="begin"/>
      </w:r>
      <w:r w:rsidR="00800C4A" w:rsidRPr="004F0D45">
        <w:rPr>
          <w:rFonts w:eastAsia="Times New Roman"/>
          <w:lang w:eastAsia="da-DK"/>
        </w:rPr>
        <w:instrText xml:space="preserve"> REF _Ref127192974 \h </w:instrText>
      </w:r>
      <w:r w:rsidR="00397FE2" w:rsidRPr="004F0D45">
        <w:rPr>
          <w:rFonts w:eastAsia="Times New Roman"/>
          <w:lang w:eastAsia="da-DK"/>
        </w:rPr>
        <w:instrText xml:space="preserve"> \* MERGEFORMAT </w:instrText>
      </w:r>
      <w:r w:rsidR="00800C4A" w:rsidRPr="004F0D45">
        <w:rPr>
          <w:rFonts w:eastAsia="Times New Roman"/>
          <w:lang w:eastAsia="da-DK"/>
        </w:rPr>
      </w:r>
      <w:r w:rsidR="00800C4A" w:rsidRPr="004F0D45">
        <w:rPr>
          <w:rFonts w:eastAsia="Times New Roman"/>
          <w:lang w:eastAsia="da-DK"/>
        </w:rPr>
        <w:fldChar w:fldCharType="separate"/>
      </w:r>
      <w:r w:rsidR="00F230AB" w:rsidRPr="004F0D45">
        <w:t xml:space="preserve">Figure </w:t>
      </w:r>
      <w:r w:rsidR="00F230AB" w:rsidRPr="004F0D45">
        <w:rPr>
          <w:noProof/>
        </w:rPr>
        <w:t>8</w:t>
      </w:r>
      <w:r w:rsidR="00800C4A" w:rsidRPr="004F0D45">
        <w:rPr>
          <w:rFonts w:eastAsia="Times New Roman"/>
          <w:lang w:eastAsia="da-DK"/>
        </w:rPr>
        <w:fldChar w:fldCharType="end"/>
      </w:r>
      <w:r w:rsidR="005D2AB4" w:rsidRPr="004F0D45">
        <w:rPr>
          <w:rFonts w:eastAsia="Times New Roman"/>
          <w:lang w:eastAsia="da-DK"/>
        </w:rPr>
        <w:t>.</w:t>
      </w:r>
      <w:r w:rsidR="00713932" w:rsidRPr="004F0D45">
        <w:rPr>
          <w:rFonts w:eastAsia="Times New Roman"/>
          <w:lang w:eastAsia="da-DK"/>
        </w:rPr>
        <w:t xml:space="preserve"> Moreover, since the two slot types have different bandwidths, using the same FDRA limits the flexibility in resource allocation by coupling the resource allocation for SBFD and </w:t>
      </w:r>
      <w:r w:rsidR="00E328D7" w:rsidRPr="004F0D45">
        <w:rPr>
          <w:rFonts w:eastAsia="Times New Roman"/>
          <w:lang w:eastAsia="da-DK"/>
        </w:rPr>
        <w:t>non-SBFD</w:t>
      </w:r>
      <w:r w:rsidR="00713932" w:rsidRPr="004F0D45">
        <w:rPr>
          <w:rFonts w:eastAsia="Times New Roman"/>
          <w:lang w:eastAsia="da-DK"/>
        </w:rPr>
        <w:t xml:space="preserve"> slots.</w:t>
      </w:r>
    </w:p>
    <w:p w14:paraId="262347D2" w14:textId="3467C1C2" w:rsidR="00F34FE9" w:rsidRPr="004F0D45" w:rsidRDefault="00F34FE9" w:rsidP="000A36CF">
      <w:pPr>
        <w:overflowPunct/>
        <w:autoSpaceDE/>
        <w:adjustRightInd/>
        <w:spacing w:after="0"/>
        <w:contextualSpacing/>
        <w:jc w:val="center"/>
        <w:textAlignment w:val="center"/>
        <w:rPr>
          <w:rFonts w:eastAsia="Times New Roman"/>
          <w:lang w:eastAsia="da-DK"/>
        </w:rPr>
      </w:pPr>
      <w:r w:rsidRPr="004F0D45">
        <w:rPr>
          <w:noProof/>
        </w:rPr>
        <w:drawing>
          <wp:inline distT="0" distB="0" distL="0" distR="0" wp14:anchorId="00703AF7" wp14:editId="2BCD7652">
            <wp:extent cx="4420235" cy="15344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20235" cy="1534402"/>
                    </a:xfrm>
                    <a:prstGeom prst="rect">
                      <a:avLst/>
                    </a:prstGeom>
                    <a:noFill/>
                    <a:ln>
                      <a:noFill/>
                    </a:ln>
                  </pic:spPr>
                </pic:pic>
              </a:graphicData>
            </a:graphic>
          </wp:inline>
        </w:drawing>
      </w:r>
    </w:p>
    <w:p w14:paraId="0B810114" w14:textId="3295BC86" w:rsidR="00F34FE9" w:rsidRPr="004F0D45" w:rsidRDefault="00F34FE9" w:rsidP="000A36CF">
      <w:pPr>
        <w:spacing w:after="0"/>
        <w:contextualSpacing/>
        <w:jc w:val="center"/>
      </w:pPr>
      <w:bookmarkStart w:id="74" w:name="_Ref127192974"/>
      <w:r w:rsidRPr="004F0D45">
        <w:t xml:space="preserve">Figure </w:t>
      </w:r>
      <w:r w:rsidRPr="004F0D45">
        <w:fldChar w:fldCharType="begin"/>
      </w:r>
      <w:r w:rsidRPr="004F0D45">
        <w:instrText xml:space="preserve"> SEQ Figure \* ARABIC </w:instrText>
      </w:r>
      <w:r w:rsidRPr="004F0D45">
        <w:fldChar w:fldCharType="separate"/>
      </w:r>
      <w:r w:rsidR="00F230AB" w:rsidRPr="004F0D45">
        <w:rPr>
          <w:noProof/>
        </w:rPr>
        <w:t>8</w:t>
      </w:r>
      <w:r w:rsidRPr="004F0D45">
        <w:rPr>
          <w:noProof/>
        </w:rPr>
        <w:fldChar w:fldCharType="end"/>
      </w:r>
      <w:bookmarkEnd w:id="74"/>
      <w:r w:rsidRPr="004F0D45">
        <w:t>: CG-PUSCH transmission in SBFD.</w:t>
      </w:r>
    </w:p>
    <w:p w14:paraId="3834F0AD" w14:textId="0B7065A3" w:rsidR="00DD25A8" w:rsidRPr="004F0D45" w:rsidRDefault="008A189B" w:rsidP="005D664D">
      <w:pPr>
        <w:jc w:val="both"/>
        <w:rPr>
          <w:lang w:eastAsia="en-GB"/>
        </w:rPr>
      </w:pPr>
      <w:r w:rsidRPr="004F0D45">
        <w:rPr>
          <w:lang w:eastAsia="en-GB"/>
        </w:rPr>
        <w:t>For UL repetitions (DG PUSCH repetition, PUCCH repetition) a UE can be configured to transmit two or more repetitions that can be across multiple consecutive slots (Repetition Type-A) and/or within a single slot (Repetition Type-B). Like the case of CG PUSCH transmissions, the group of slots for PUSCH/PUCCH repetitions may consist of</w:t>
      </w:r>
      <w:r w:rsidR="007509A9" w:rsidRPr="004F0D45">
        <w:rPr>
          <w:lang w:eastAsia="en-GB"/>
        </w:rPr>
        <w:t xml:space="preserve"> non-SBFD</w:t>
      </w:r>
      <w:r w:rsidRPr="004F0D45">
        <w:rPr>
          <w:lang w:eastAsia="en-GB"/>
        </w:rPr>
        <w:t xml:space="preserve"> and SBFD slots/symbols.</w:t>
      </w:r>
      <w:r w:rsidR="00253B87" w:rsidRPr="004F0D45">
        <w:rPr>
          <w:lang w:eastAsia="en-GB"/>
        </w:rPr>
        <w:t xml:space="preserve"> Therefore, repetition from </w:t>
      </w:r>
      <w:r w:rsidR="007509A9" w:rsidRPr="004F0D45">
        <w:rPr>
          <w:lang w:eastAsia="en-GB"/>
        </w:rPr>
        <w:t>non-SBFD</w:t>
      </w:r>
      <w:r w:rsidR="00253B87" w:rsidRPr="004F0D45">
        <w:rPr>
          <w:lang w:eastAsia="en-GB"/>
        </w:rPr>
        <w:t xml:space="preserve"> slots may overlap with the DL subbands in SBFD slots as shown in</w:t>
      </w:r>
      <w:r w:rsidR="00EA1D19" w:rsidRPr="004F0D45">
        <w:rPr>
          <w:lang w:eastAsia="en-GB"/>
        </w:rPr>
        <w:t xml:space="preserve"> </w:t>
      </w:r>
      <w:r w:rsidR="00EA1D19" w:rsidRPr="004F0D45">
        <w:rPr>
          <w:lang w:eastAsia="en-GB"/>
        </w:rPr>
        <w:fldChar w:fldCharType="begin"/>
      </w:r>
      <w:r w:rsidR="00EA1D19" w:rsidRPr="004F0D45">
        <w:rPr>
          <w:lang w:eastAsia="en-GB"/>
        </w:rPr>
        <w:instrText xml:space="preserve"> REF _Ref127192829 \h </w:instrText>
      </w:r>
      <w:r w:rsidR="00397FE2" w:rsidRPr="004F0D45">
        <w:rPr>
          <w:lang w:eastAsia="en-GB"/>
        </w:rPr>
        <w:instrText xml:space="preserve"> \* MERGEFORMAT </w:instrText>
      </w:r>
      <w:r w:rsidR="00EA1D19" w:rsidRPr="004F0D45">
        <w:rPr>
          <w:lang w:eastAsia="en-GB"/>
        </w:rPr>
      </w:r>
      <w:r w:rsidR="00EA1D19" w:rsidRPr="004F0D45">
        <w:rPr>
          <w:lang w:eastAsia="en-GB"/>
        </w:rPr>
        <w:fldChar w:fldCharType="separate"/>
      </w:r>
      <w:r w:rsidR="00F230AB" w:rsidRPr="004F0D45">
        <w:t xml:space="preserve">Figure </w:t>
      </w:r>
      <w:r w:rsidR="00F230AB" w:rsidRPr="004F0D45">
        <w:rPr>
          <w:noProof/>
        </w:rPr>
        <w:t>9</w:t>
      </w:r>
      <w:r w:rsidR="00EA1D19" w:rsidRPr="004F0D45">
        <w:rPr>
          <w:lang w:eastAsia="en-GB"/>
        </w:rPr>
        <w:fldChar w:fldCharType="end"/>
      </w:r>
      <w:r w:rsidR="00140645" w:rsidRPr="004F0D45">
        <w:rPr>
          <w:lang w:eastAsia="en-GB"/>
        </w:rPr>
        <w:t>.</w:t>
      </w:r>
      <w:r w:rsidR="002B6AD4" w:rsidRPr="004F0D45">
        <w:rPr>
          <w:lang w:eastAsia="en-GB"/>
        </w:rPr>
        <w:t xml:space="preserve"> The same </w:t>
      </w:r>
      <w:r w:rsidR="000B5483" w:rsidRPr="004F0D45">
        <w:rPr>
          <w:lang w:eastAsia="en-GB"/>
        </w:rPr>
        <w:t>issu</w:t>
      </w:r>
      <w:r w:rsidR="00D0344F" w:rsidRPr="004F0D45">
        <w:rPr>
          <w:lang w:eastAsia="en-GB"/>
        </w:rPr>
        <w:t>es</w:t>
      </w:r>
      <w:r w:rsidR="000B5483" w:rsidRPr="004F0D45">
        <w:rPr>
          <w:lang w:eastAsia="en-GB"/>
        </w:rPr>
        <w:t xml:space="preserve"> arise</w:t>
      </w:r>
      <w:r w:rsidR="002B6AD4" w:rsidRPr="004F0D45">
        <w:rPr>
          <w:lang w:eastAsia="en-GB"/>
        </w:rPr>
        <w:t xml:space="preserve"> in the case of TBoMS</w:t>
      </w:r>
      <w:r w:rsidR="00D0344F" w:rsidRPr="004F0D45">
        <w:rPr>
          <w:lang w:eastAsia="en-GB"/>
        </w:rPr>
        <w:t xml:space="preserve"> and </w:t>
      </w:r>
      <w:r w:rsidR="00D0344F" w:rsidRPr="004F0D45">
        <w:t>periodic/semi-persistent SRS</w:t>
      </w:r>
      <w:r w:rsidR="002B6AD4" w:rsidRPr="004F0D45">
        <w:rPr>
          <w:lang w:eastAsia="en-GB"/>
        </w:rPr>
        <w:t>.</w:t>
      </w:r>
      <w:r w:rsidR="00140645" w:rsidRPr="004F0D45">
        <w:rPr>
          <w:lang w:eastAsia="en-GB"/>
        </w:rPr>
        <w:t xml:space="preserve"> One option for the gNB is to always allocate resources that are within the bandwidth of the UL-SB even in the</w:t>
      </w:r>
      <w:r w:rsidR="007509A9" w:rsidRPr="004F0D45">
        <w:rPr>
          <w:lang w:eastAsia="en-GB"/>
        </w:rPr>
        <w:t xml:space="preserve"> non-SBFD</w:t>
      </w:r>
      <w:r w:rsidR="00140645" w:rsidRPr="004F0D45">
        <w:rPr>
          <w:lang w:eastAsia="en-GB"/>
        </w:rPr>
        <w:t xml:space="preserve"> slots. However, this will cause scheduling limitation and UEs’ congestion in the middle of the</w:t>
      </w:r>
      <w:r w:rsidR="007509A9" w:rsidRPr="004F0D45">
        <w:rPr>
          <w:lang w:eastAsia="en-GB"/>
        </w:rPr>
        <w:t xml:space="preserve"> non-SBFD</w:t>
      </w:r>
      <w:r w:rsidR="00140645" w:rsidRPr="004F0D45">
        <w:rPr>
          <w:lang w:eastAsia="en-GB"/>
        </w:rPr>
        <w:t xml:space="preserve"> slots.</w:t>
      </w:r>
    </w:p>
    <w:p w14:paraId="00926D6A" w14:textId="680DD09B" w:rsidR="00DD25A8" w:rsidRPr="004F0D45" w:rsidRDefault="00DD25A8" w:rsidP="000A36CF">
      <w:pPr>
        <w:spacing w:after="0"/>
        <w:contextualSpacing/>
        <w:jc w:val="center"/>
        <w:rPr>
          <w:lang w:eastAsia="en-GB"/>
        </w:rPr>
      </w:pPr>
      <w:r w:rsidRPr="004F0D45">
        <w:rPr>
          <w:noProof/>
        </w:rPr>
        <w:drawing>
          <wp:inline distT="0" distB="0" distL="0" distR="0" wp14:anchorId="1411E07D" wp14:editId="10375BB0">
            <wp:extent cx="3060700" cy="1766208"/>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65662" cy="1769071"/>
                    </a:xfrm>
                    <a:prstGeom prst="rect">
                      <a:avLst/>
                    </a:prstGeom>
                    <a:noFill/>
                    <a:ln>
                      <a:noFill/>
                    </a:ln>
                  </pic:spPr>
                </pic:pic>
              </a:graphicData>
            </a:graphic>
          </wp:inline>
        </w:drawing>
      </w:r>
    </w:p>
    <w:p w14:paraId="7508B4DB" w14:textId="623833A6" w:rsidR="00DD25A8" w:rsidRPr="004F0D45" w:rsidRDefault="00DD25A8" w:rsidP="000A36CF">
      <w:pPr>
        <w:spacing w:after="0"/>
        <w:contextualSpacing/>
        <w:jc w:val="center"/>
      </w:pPr>
      <w:bookmarkStart w:id="75" w:name="_Ref127192829"/>
      <w:r w:rsidRPr="004F0D45">
        <w:t xml:space="preserve">Figure </w:t>
      </w:r>
      <w:r w:rsidRPr="004F0D45">
        <w:fldChar w:fldCharType="begin"/>
      </w:r>
      <w:r w:rsidRPr="004F0D45">
        <w:instrText xml:space="preserve"> SEQ Figure \* ARABIC </w:instrText>
      </w:r>
      <w:r w:rsidRPr="004F0D45">
        <w:fldChar w:fldCharType="separate"/>
      </w:r>
      <w:r w:rsidR="00F230AB" w:rsidRPr="004F0D45">
        <w:rPr>
          <w:noProof/>
        </w:rPr>
        <w:t>9</w:t>
      </w:r>
      <w:r w:rsidRPr="004F0D45">
        <w:rPr>
          <w:noProof/>
        </w:rPr>
        <w:fldChar w:fldCharType="end"/>
      </w:r>
      <w:bookmarkEnd w:id="75"/>
      <w:r w:rsidRPr="004F0D45">
        <w:t>: UL repetition in SBFD.</w:t>
      </w:r>
    </w:p>
    <w:p w14:paraId="4852C8D6" w14:textId="33F918D5" w:rsidR="006E07B0" w:rsidRPr="004F0D45" w:rsidRDefault="00782440" w:rsidP="005D664D">
      <w:pPr>
        <w:spacing w:after="120"/>
        <w:jc w:val="both"/>
        <w:rPr>
          <w:lang w:eastAsia="en-GB"/>
        </w:rPr>
      </w:pPr>
      <w:r w:rsidRPr="004F0D45">
        <w:rPr>
          <w:lang w:eastAsia="en-GB"/>
        </w:rPr>
        <w:t>To enable a flexible and more efficient resource allocation</w:t>
      </w:r>
      <w:r w:rsidR="00955E70" w:rsidRPr="004F0D45">
        <w:rPr>
          <w:lang w:eastAsia="en-GB"/>
        </w:rPr>
        <w:t xml:space="preserve"> in SBFD</w:t>
      </w:r>
      <w:r w:rsidRPr="004F0D45">
        <w:rPr>
          <w:lang w:eastAsia="en-GB"/>
        </w:rPr>
        <w:t xml:space="preserve">, </w:t>
      </w:r>
      <w:r w:rsidR="00C351FE" w:rsidRPr="004F0D45">
        <w:rPr>
          <w:lang w:eastAsia="en-GB"/>
        </w:rPr>
        <w:t>separate</w:t>
      </w:r>
      <w:r w:rsidRPr="004F0D45">
        <w:rPr>
          <w:lang w:eastAsia="en-GB"/>
        </w:rPr>
        <w:t xml:space="preserve"> FDRA can be provided for the two slot types </w:t>
      </w:r>
      <w:r w:rsidR="00955E70" w:rsidRPr="004F0D45">
        <w:rPr>
          <w:lang w:eastAsia="en-GB"/>
        </w:rPr>
        <w:t>of</w:t>
      </w:r>
      <w:r w:rsidRPr="004F0D45">
        <w:rPr>
          <w:lang w:eastAsia="en-GB"/>
        </w:rPr>
        <w:t xml:space="preserve"> a multi-slot UL transmission</w:t>
      </w:r>
      <w:r w:rsidR="00465322" w:rsidRPr="004F0D45">
        <w:rPr>
          <w:lang w:eastAsia="en-GB"/>
        </w:rPr>
        <w:t xml:space="preserve">. One FDRA is defined for </w:t>
      </w:r>
      <w:r w:rsidR="00905F10" w:rsidRPr="004F0D45">
        <w:rPr>
          <w:lang w:eastAsia="en-GB"/>
        </w:rPr>
        <w:t>non-SBFD</w:t>
      </w:r>
      <w:r w:rsidR="00465322" w:rsidRPr="004F0D45">
        <w:rPr>
          <w:lang w:eastAsia="en-GB"/>
        </w:rPr>
        <w:t xml:space="preserve"> slots, whereas the other FDRA is defined for SBFD slots/symbols.</w:t>
      </w:r>
      <w:r w:rsidR="008D0681" w:rsidRPr="004F0D45">
        <w:rPr>
          <w:lang w:eastAsia="en-GB"/>
        </w:rPr>
        <w:t xml:space="preserve"> Moreover, </w:t>
      </w:r>
      <w:r w:rsidR="006E07B0" w:rsidRPr="004F0D45">
        <w:rPr>
          <w:lang w:eastAsia="en-GB"/>
        </w:rPr>
        <w:t xml:space="preserve">for a multi-slot transmission, the gNB may configure the UE to transmit on specific set of slots (e.g., </w:t>
      </w:r>
      <w:r w:rsidR="00905F10" w:rsidRPr="004F0D45">
        <w:rPr>
          <w:lang w:eastAsia="en-GB"/>
        </w:rPr>
        <w:t>non-SBFD</w:t>
      </w:r>
      <w:r w:rsidR="006E07B0" w:rsidRPr="004F0D45">
        <w:rPr>
          <w:lang w:eastAsia="en-GB"/>
        </w:rPr>
        <w:t xml:space="preserve"> slots) and skip</w:t>
      </w:r>
      <w:r w:rsidR="0001079F" w:rsidRPr="004F0D45">
        <w:rPr>
          <w:lang w:eastAsia="en-GB"/>
        </w:rPr>
        <w:t>/omit</w:t>
      </w:r>
      <w:r w:rsidR="006E07B0" w:rsidRPr="004F0D45">
        <w:rPr>
          <w:lang w:eastAsia="en-GB"/>
        </w:rPr>
        <w:t xml:space="preserve"> transmission on the other set of slots (e.g., SBFD slots).  </w:t>
      </w:r>
    </w:p>
    <w:p w14:paraId="1F6E54F3" w14:textId="2A526FAC" w:rsidR="0038653B" w:rsidRPr="004F0D45" w:rsidRDefault="0038653B" w:rsidP="005D664D">
      <w:pPr>
        <w:shd w:val="clear" w:color="auto" w:fill="FFFFFF"/>
        <w:spacing w:after="120"/>
        <w:jc w:val="both"/>
        <w:rPr>
          <w:b/>
          <w:bCs/>
          <w:i/>
          <w:iCs/>
        </w:rPr>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F230AB" w:rsidRPr="004F0D45">
        <w:rPr>
          <w:b/>
          <w:bCs/>
          <w:i/>
          <w:iCs/>
          <w:noProof/>
        </w:rPr>
        <w:t>15</w:t>
      </w:r>
      <w:r w:rsidRPr="004F0D45">
        <w:rPr>
          <w:b/>
          <w:bCs/>
          <w:i/>
          <w:iCs/>
        </w:rPr>
        <w:fldChar w:fldCharType="end"/>
      </w:r>
      <w:r w:rsidRPr="004F0D45">
        <w:rPr>
          <w:b/>
          <w:bCs/>
          <w:i/>
          <w:iCs/>
        </w:rPr>
        <w:t xml:space="preserve">: </w:t>
      </w:r>
      <w:bookmarkStart w:id="76" w:name="_Ref127193464"/>
      <w:r w:rsidRPr="004F0D45">
        <w:rPr>
          <w:b/>
          <w:bCs/>
          <w:i/>
          <w:iCs/>
        </w:rPr>
        <w:t>For multi-slot UL transmissions, a single FDRA is configured for all UL slots. This may impact flexibility in resource allocation in SBFD since it has two types of slots with different bandwidths.</w:t>
      </w:r>
      <w:bookmarkEnd w:id="76"/>
    </w:p>
    <w:p w14:paraId="2C447ED9" w14:textId="3915865C" w:rsidR="003D47D4" w:rsidRPr="004F0D45" w:rsidRDefault="003D47D4" w:rsidP="005D664D">
      <w:pPr>
        <w:shd w:val="clear" w:color="auto" w:fill="FFFFFF"/>
        <w:spacing w:after="120"/>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24</w:t>
      </w:r>
      <w:r w:rsidRPr="004F0D45">
        <w:rPr>
          <w:b/>
          <w:bCs/>
          <w:i/>
          <w:iCs/>
        </w:rPr>
        <w:fldChar w:fldCharType="end"/>
      </w:r>
      <w:r w:rsidRPr="004F0D45">
        <w:rPr>
          <w:b/>
          <w:bCs/>
          <w:i/>
          <w:iCs/>
        </w:rPr>
        <w:t xml:space="preserve">: </w:t>
      </w:r>
      <w:bookmarkStart w:id="77" w:name="_Ref127193375"/>
      <w:r w:rsidRPr="004F0D45">
        <w:rPr>
          <w:b/>
          <w:bCs/>
          <w:i/>
          <w:iCs/>
        </w:rPr>
        <w:t xml:space="preserve">Support </w:t>
      </w:r>
      <w:r w:rsidR="009306C6" w:rsidRPr="004F0D45">
        <w:rPr>
          <w:b/>
          <w:bCs/>
          <w:i/>
          <w:iCs/>
        </w:rPr>
        <w:t>separate</w:t>
      </w:r>
      <w:r w:rsidRPr="004F0D45">
        <w:rPr>
          <w:b/>
          <w:bCs/>
          <w:i/>
          <w:iCs/>
        </w:rPr>
        <w:t xml:space="preserve"> FDRA for multi-slot UL transmissions (e.g., CG PUSCH, DG PUSCH repetition,</w:t>
      </w:r>
      <w:r w:rsidR="0001079F" w:rsidRPr="004F0D45">
        <w:rPr>
          <w:b/>
          <w:bCs/>
          <w:i/>
          <w:iCs/>
        </w:rPr>
        <w:t xml:space="preserve"> TBoMS</w:t>
      </w:r>
      <w:r w:rsidR="004E71C3" w:rsidRPr="004F0D45">
        <w:rPr>
          <w:b/>
          <w:bCs/>
          <w:i/>
          <w:iCs/>
        </w:rPr>
        <w:t>,</w:t>
      </w:r>
      <w:r w:rsidRPr="004F0D45">
        <w:rPr>
          <w:b/>
          <w:bCs/>
          <w:i/>
          <w:iCs/>
        </w:rPr>
        <w:t xml:space="preserve"> periodic/semi-persistent PUCCH,</w:t>
      </w:r>
      <w:r w:rsidR="007F4197" w:rsidRPr="004F0D45">
        <w:rPr>
          <w:b/>
          <w:bCs/>
          <w:i/>
          <w:iCs/>
        </w:rPr>
        <w:t xml:space="preserve"> periodic/semi-persistent SRS,</w:t>
      </w:r>
      <w:r w:rsidRPr="004F0D45">
        <w:rPr>
          <w:b/>
          <w:bCs/>
          <w:i/>
          <w:iCs/>
        </w:rPr>
        <w:t xml:space="preserve"> PUCCH repetition) based on slot type.</w:t>
      </w:r>
      <w:bookmarkEnd w:id="77"/>
    </w:p>
    <w:p w14:paraId="05AFAECE" w14:textId="1F115DBF" w:rsidR="00652026" w:rsidRPr="004F0D45" w:rsidRDefault="003D47D4" w:rsidP="005D664D">
      <w:pPr>
        <w:shd w:val="clear" w:color="auto" w:fill="FFFFFF"/>
        <w:spacing w:after="120"/>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25</w:t>
      </w:r>
      <w:r w:rsidRPr="004F0D45">
        <w:rPr>
          <w:b/>
          <w:bCs/>
          <w:i/>
          <w:iCs/>
        </w:rPr>
        <w:fldChar w:fldCharType="end"/>
      </w:r>
      <w:r w:rsidRPr="004F0D45">
        <w:rPr>
          <w:b/>
          <w:bCs/>
          <w:i/>
          <w:iCs/>
        </w:rPr>
        <w:t xml:space="preserve">: </w:t>
      </w:r>
      <w:bookmarkStart w:id="78" w:name="_Ref127193412"/>
      <w:r w:rsidRPr="004F0D45">
        <w:rPr>
          <w:b/>
          <w:bCs/>
          <w:i/>
          <w:iCs/>
        </w:rPr>
        <w:t>For multi-slot UL transmissions</w:t>
      </w:r>
      <w:r w:rsidR="0001079F" w:rsidRPr="004F0D45">
        <w:rPr>
          <w:b/>
          <w:bCs/>
          <w:i/>
          <w:iCs/>
        </w:rPr>
        <w:t xml:space="preserve"> (e.g., CG PUSCH, DG PUSCH repetition, TBoMS</w:t>
      </w:r>
      <w:r w:rsidR="004E71C3" w:rsidRPr="004F0D45">
        <w:rPr>
          <w:b/>
          <w:bCs/>
          <w:i/>
          <w:iCs/>
        </w:rPr>
        <w:t>,</w:t>
      </w:r>
      <w:r w:rsidR="0001079F" w:rsidRPr="004F0D45">
        <w:rPr>
          <w:b/>
          <w:bCs/>
          <w:i/>
          <w:iCs/>
        </w:rPr>
        <w:t xml:space="preserve"> periodic/semi-persistent PUCCH,</w:t>
      </w:r>
      <w:r w:rsidR="001006B5" w:rsidRPr="004F0D45">
        <w:rPr>
          <w:b/>
          <w:bCs/>
          <w:i/>
          <w:iCs/>
        </w:rPr>
        <w:t xml:space="preserve"> periodic/semi-persistent SRS,</w:t>
      </w:r>
      <w:r w:rsidR="0001079F" w:rsidRPr="004F0D45">
        <w:rPr>
          <w:b/>
          <w:bCs/>
          <w:i/>
          <w:iCs/>
        </w:rPr>
        <w:t xml:space="preserve"> PUCCH repetition)</w:t>
      </w:r>
      <w:r w:rsidRPr="004F0D45">
        <w:rPr>
          <w:b/>
          <w:bCs/>
          <w:i/>
          <w:iCs/>
        </w:rPr>
        <w:t xml:space="preserve">, </w:t>
      </w:r>
      <w:r w:rsidRPr="004F0D45">
        <w:rPr>
          <w:b/>
          <w:bCs/>
          <w:i/>
          <w:iCs/>
          <w:lang w:eastAsia="en-GB"/>
        </w:rPr>
        <w:t>support skipping</w:t>
      </w:r>
      <w:r w:rsidR="0015458E" w:rsidRPr="004F0D45">
        <w:rPr>
          <w:b/>
          <w:bCs/>
          <w:i/>
          <w:iCs/>
          <w:lang w:eastAsia="en-GB"/>
        </w:rPr>
        <w:t>/</w:t>
      </w:r>
      <w:r w:rsidR="00482782" w:rsidRPr="004F0D45">
        <w:rPr>
          <w:b/>
          <w:bCs/>
          <w:i/>
          <w:iCs/>
          <w:lang w:eastAsia="en-GB"/>
        </w:rPr>
        <w:t>omission</w:t>
      </w:r>
      <w:r w:rsidRPr="004F0D45">
        <w:rPr>
          <w:b/>
          <w:bCs/>
          <w:i/>
          <w:iCs/>
          <w:lang w:eastAsia="en-GB"/>
        </w:rPr>
        <w:t xml:space="preserve"> of transmissions that occur in SBFD slots/symbols</w:t>
      </w:r>
      <w:r w:rsidRPr="004F0D45">
        <w:rPr>
          <w:b/>
          <w:bCs/>
          <w:i/>
          <w:iCs/>
        </w:rPr>
        <w:t>.</w:t>
      </w:r>
      <w:bookmarkEnd w:id="78"/>
      <w:r w:rsidR="00782440" w:rsidRPr="004F0D45">
        <w:rPr>
          <w:lang w:eastAsia="en-GB"/>
        </w:rPr>
        <w:t xml:space="preserve">  </w:t>
      </w:r>
    </w:p>
    <w:p w14:paraId="29635CAC" w14:textId="5F0D97AC" w:rsidR="004E56BC" w:rsidRPr="004F0D45" w:rsidRDefault="004E56BC" w:rsidP="002D4830">
      <w:pPr>
        <w:pStyle w:val="Heading3"/>
      </w:pPr>
      <w:r w:rsidRPr="004F0D45">
        <w:lastRenderedPageBreak/>
        <w:t xml:space="preserve">Frequency </w:t>
      </w:r>
      <w:r w:rsidR="00D670FB" w:rsidRPr="004F0D45">
        <w:t>h</w:t>
      </w:r>
      <w:r w:rsidRPr="004F0D45">
        <w:t>opping</w:t>
      </w:r>
      <w:r w:rsidR="0065346A" w:rsidRPr="004F0D45">
        <w:t xml:space="preserve"> for PUSCH/PUCCH</w:t>
      </w:r>
      <w:r w:rsidR="00BA66FB" w:rsidRPr="004F0D45">
        <w:t>/SRS</w:t>
      </w:r>
    </w:p>
    <w:p w14:paraId="7AB19D8C" w14:textId="7CC3E429" w:rsidR="000C00EC" w:rsidRPr="004F0D45" w:rsidRDefault="004E56BC" w:rsidP="005D664D">
      <w:pPr>
        <w:spacing w:after="120"/>
        <w:jc w:val="both"/>
        <w:rPr>
          <w:lang w:eastAsia="en-GB"/>
        </w:rPr>
      </w:pPr>
      <w:r w:rsidRPr="004F0D45">
        <w:rPr>
          <w:lang w:eastAsia="en-GB"/>
        </w:rPr>
        <w:t>According to the current specification, the UE can be instructed through RRC or DCI to apply either intra-slot or inter-slot frequency hopping</w:t>
      </w:r>
      <w:r w:rsidR="00297807" w:rsidRPr="004F0D45">
        <w:rPr>
          <w:lang w:eastAsia="en-GB"/>
        </w:rPr>
        <w:t xml:space="preserve"> for PUSCH</w:t>
      </w:r>
      <w:r w:rsidR="00BA66FB" w:rsidRPr="004F0D45">
        <w:rPr>
          <w:lang w:eastAsia="en-GB"/>
        </w:rPr>
        <w:t xml:space="preserve">, </w:t>
      </w:r>
      <w:r w:rsidR="00297807" w:rsidRPr="004F0D45">
        <w:rPr>
          <w:lang w:eastAsia="en-GB"/>
        </w:rPr>
        <w:t>PUCCH</w:t>
      </w:r>
      <w:r w:rsidR="00BA66FB" w:rsidRPr="004F0D45">
        <w:rPr>
          <w:lang w:eastAsia="en-GB"/>
        </w:rPr>
        <w:t xml:space="preserve"> or SRS</w:t>
      </w:r>
      <w:r w:rsidR="00297807" w:rsidRPr="004F0D45">
        <w:rPr>
          <w:lang w:eastAsia="en-GB"/>
        </w:rPr>
        <w:t xml:space="preserve"> transmissions</w:t>
      </w:r>
      <w:r w:rsidRPr="004F0D45">
        <w:rPr>
          <w:lang w:eastAsia="en-GB"/>
        </w:rPr>
        <w:t xml:space="preserve">. </w:t>
      </w:r>
      <w:r w:rsidR="000C00EC" w:rsidRPr="004F0D45">
        <w:rPr>
          <w:lang w:eastAsia="en-GB"/>
        </w:rPr>
        <w:t xml:space="preserve">For both </w:t>
      </w:r>
      <w:r w:rsidR="000C00EC" w:rsidRPr="004F0D45">
        <w:rPr>
          <w:lang w:val="en-US" w:eastAsia="en-GB"/>
        </w:rPr>
        <w:t xml:space="preserve">intra-slot and inter-slot frequency hopping, the frequency domain position of the first and second hop are configured such that the resource allocation is confined within the UL BWP. </w:t>
      </w:r>
      <w:r w:rsidRPr="004F0D45">
        <w:rPr>
          <w:lang w:val="en-US" w:eastAsia="en-GB"/>
        </w:rPr>
        <w:t>For SBFD slots</w:t>
      </w:r>
      <w:r w:rsidR="00887AA7" w:rsidRPr="004F0D45">
        <w:rPr>
          <w:lang w:val="en-US" w:eastAsia="en-GB"/>
        </w:rPr>
        <w:t>/symbols</w:t>
      </w:r>
      <w:r w:rsidRPr="004F0D45">
        <w:rPr>
          <w:lang w:val="en-US" w:eastAsia="en-GB"/>
        </w:rPr>
        <w:t xml:space="preserve">, </w:t>
      </w:r>
      <w:r w:rsidRPr="004F0D45">
        <w:rPr>
          <w:lang w:eastAsia="en-GB"/>
        </w:rPr>
        <w:t>the resource allocation with frequency hopping is likely to overlap with DL subband since the bandwidth of the UL subband is less than the bandwidth of the BWP, as shown in</w:t>
      </w:r>
      <w:r w:rsidR="00846183" w:rsidRPr="004F0D45">
        <w:rPr>
          <w:lang w:eastAsia="en-GB"/>
        </w:rPr>
        <w:t xml:space="preserve"> </w:t>
      </w:r>
      <w:r w:rsidR="00846183" w:rsidRPr="004F0D45">
        <w:rPr>
          <w:lang w:eastAsia="en-GB"/>
        </w:rPr>
        <w:fldChar w:fldCharType="begin"/>
      </w:r>
      <w:r w:rsidR="00846183" w:rsidRPr="004F0D45">
        <w:rPr>
          <w:lang w:eastAsia="en-GB"/>
        </w:rPr>
        <w:instrText xml:space="preserve"> REF _Ref111207280 \h </w:instrText>
      </w:r>
      <w:r w:rsidR="002452A0" w:rsidRPr="004F0D45">
        <w:rPr>
          <w:lang w:eastAsia="en-GB"/>
        </w:rPr>
        <w:instrText xml:space="preserve"> \* MERGEFORMAT </w:instrText>
      </w:r>
      <w:r w:rsidR="00846183" w:rsidRPr="004F0D45">
        <w:rPr>
          <w:lang w:eastAsia="en-GB"/>
        </w:rPr>
      </w:r>
      <w:r w:rsidR="00846183" w:rsidRPr="004F0D45">
        <w:rPr>
          <w:lang w:eastAsia="en-GB"/>
        </w:rPr>
        <w:fldChar w:fldCharType="separate"/>
      </w:r>
      <w:r w:rsidR="00F230AB" w:rsidRPr="004F0D45">
        <w:t xml:space="preserve">Figure </w:t>
      </w:r>
      <w:r w:rsidR="00F230AB" w:rsidRPr="004F0D45">
        <w:rPr>
          <w:noProof/>
        </w:rPr>
        <w:t>10</w:t>
      </w:r>
      <w:r w:rsidR="00846183" w:rsidRPr="004F0D45">
        <w:rPr>
          <w:lang w:eastAsia="en-GB"/>
        </w:rPr>
        <w:fldChar w:fldCharType="end"/>
      </w:r>
      <w:r w:rsidRPr="004F0D45">
        <w:rPr>
          <w:lang w:eastAsia="en-GB"/>
        </w:rPr>
        <w:t xml:space="preserve">. </w:t>
      </w:r>
      <w:r w:rsidR="000C00EC" w:rsidRPr="004F0D45">
        <w:rPr>
          <w:lang w:eastAsia="en-GB"/>
        </w:rPr>
        <w:t xml:space="preserve">Therefore, the frequency domain positions must be chosen to ensure that </w:t>
      </w:r>
      <w:r w:rsidR="000C00EC" w:rsidRPr="004F0D45">
        <w:rPr>
          <w:color w:val="000000" w:themeColor="text1"/>
          <w:kern w:val="24"/>
          <w:lang w:val="en-US"/>
        </w:rPr>
        <w:t>the resource allocation always remains within the UL subband of SBFD slots.</w:t>
      </w:r>
    </w:p>
    <w:p w14:paraId="079595FA" w14:textId="0AF605F0" w:rsidR="00D34584" w:rsidRPr="004F0D45" w:rsidRDefault="00D34584" w:rsidP="00C26688">
      <w:pPr>
        <w:spacing w:after="120"/>
        <w:jc w:val="center"/>
        <w:rPr>
          <w:color w:val="000000" w:themeColor="text1"/>
          <w:kern w:val="24"/>
          <w:lang w:val="en-US"/>
        </w:rPr>
      </w:pPr>
      <w:r w:rsidRPr="004F0D45">
        <w:rPr>
          <w:noProof/>
        </w:rPr>
        <w:drawing>
          <wp:inline distT="0" distB="0" distL="0" distR="0" wp14:anchorId="0E54AD9B" wp14:editId="070DC414">
            <wp:extent cx="4648294" cy="181194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61100" cy="1816935"/>
                    </a:xfrm>
                    <a:prstGeom prst="rect">
                      <a:avLst/>
                    </a:prstGeom>
                    <a:noFill/>
                    <a:ln>
                      <a:noFill/>
                    </a:ln>
                  </pic:spPr>
                </pic:pic>
              </a:graphicData>
            </a:graphic>
          </wp:inline>
        </w:drawing>
      </w:r>
    </w:p>
    <w:p w14:paraId="37F3B92B" w14:textId="35F3BD42" w:rsidR="004E56BC" w:rsidRPr="004F0D45" w:rsidRDefault="00C82E22" w:rsidP="00C26688">
      <w:pPr>
        <w:jc w:val="center"/>
      </w:pPr>
      <w:bookmarkStart w:id="79" w:name="_Ref111207280"/>
      <w:r w:rsidRPr="004F0D45">
        <w:t xml:space="preserve">Figure </w:t>
      </w:r>
      <w:r w:rsidRPr="004F0D45">
        <w:fldChar w:fldCharType="begin"/>
      </w:r>
      <w:r w:rsidRPr="004F0D45">
        <w:instrText xml:space="preserve"> SEQ Figure \* ARABIC </w:instrText>
      </w:r>
      <w:r w:rsidRPr="004F0D45">
        <w:fldChar w:fldCharType="separate"/>
      </w:r>
      <w:r w:rsidR="00F230AB" w:rsidRPr="004F0D45">
        <w:rPr>
          <w:noProof/>
        </w:rPr>
        <w:t>10</w:t>
      </w:r>
      <w:r w:rsidRPr="004F0D45">
        <w:rPr>
          <w:noProof/>
        </w:rPr>
        <w:fldChar w:fldCharType="end"/>
      </w:r>
      <w:bookmarkEnd w:id="79"/>
      <w:r w:rsidRPr="004F0D45">
        <w:t>: PUSCH f</w:t>
      </w:r>
      <w:r w:rsidR="004E56BC" w:rsidRPr="004F0D45">
        <w:t>requency hopping in SB</w:t>
      </w:r>
      <w:r w:rsidR="00247954" w:rsidRPr="004F0D45">
        <w:t>F</w:t>
      </w:r>
      <w:r w:rsidR="004E56BC" w:rsidRPr="004F0D45">
        <w:t>D</w:t>
      </w:r>
      <w:r w:rsidRPr="004F0D45">
        <w:t>.</w:t>
      </w:r>
    </w:p>
    <w:p w14:paraId="1C137D77" w14:textId="507E5961" w:rsidR="004E56BC" w:rsidRPr="004F0D45" w:rsidRDefault="004E56BC" w:rsidP="005D664D">
      <w:pPr>
        <w:spacing w:after="120"/>
        <w:jc w:val="both"/>
        <w:rPr>
          <w:lang w:eastAsia="en-GB"/>
        </w:rPr>
      </w:pPr>
      <w:r w:rsidRPr="004F0D45">
        <w:rPr>
          <w:lang w:eastAsia="en-GB"/>
        </w:rPr>
        <w:t>The main advantage of frequency hopping is to provide frequency diversity and robustness to poor channel conditions. For SBFD slots</w:t>
      </w:r>
      <w:r w:rsidR="00D53C1E" w:rsidRPr="004F0D45">
        <w:rPr>
          <w:lang w:eastAsia="en-GB"/>
        </w:rPr>
        <w:t>/symbols</w:t>
      </w:r>
      <w:r w:rsidRPr="004F0D45">
        <w:rPr>
          <w:lang w:eastAsia="en-GB"/>
        </w:rPr>
        <w:t xml:space="preserve">, the diversity gain obtained from frequency hopping is reduced compared to </w:t>
      </w:r>
      <w:r w:rsidR="00C72854" w:rsidRPr="004F0D45">
        <w:rPr>
          <w:lang w:eastAsia="en-GB"/>
        </w:rPr>
        <w:t>non-SBFD</w:t>
      </w:r>
      <w:r w:rsidRPr="004F0D45">
        <w:rPr>
          <w:lang w:eastAsia="en-GB"/>
        </w:rPr>
        <w:t xml:space="preserve"> slots because of the smaller UL </w:t>
      </w:r>
      <w:r w:rsidR="00116B42" w:rsidRPr="004F0D45">
        <w:rPr>
          <w:lang w:eastAsia="en-GB"/>
        </w:rPr>
        <w:t>frequency resources</w:t>
      </w:r>
      <w:r w:rsidRPr="004F0D45">
        <w:rPr>
          <w:lang w:eastAsia="en-GB"/>
        </w:rPr>
        <w:t>. Therefore, a mechanism to disable the inter-slot frequency hopping in SBFD slots</w:t>
      </w:r>
      <w:r w:rsidR="002268A7" w:rsidRPr="004F0D45">
        <w:rPr>
          <w:lang w:eastAsia="en-GB"/>
        </w:rPr>
        <w:t>/symbols</w:t>
      </w:r>
      <w:r w:rsidRPr="004F0D45">
        <w:rPr>
          <w:lang w:eastAsia="en-GB"/>
        </w:rPr>
        <w:t xml:space="preserve"> could help in allowing flexible frequency hopping in the </w:t>
      </w:r>
      <w:r w:rsidR="00C72854" w:rsidRPr="004F0D45">
        <w:rPr>
          <w:lang w:eastAsia="en-GB"/>
        </w:rPr>
        <w:t>non-SBFD</w:t>
      </w:r>
      <w:r w:rsidRPr="004F0D45">
        <w:rPr>
          <w:lang w:eastAsia="en-GB"/>
        </w:rPr>
        <w:t xml:space="preserve"> slots. </w:t>
      </w:r>
    </w:p>
    <w:p w14:paraId="35D49216" w14:textId="1E71ED08" w:rsidR="00BA66FB" w:rsidRPr="004F0D45" w:rsidRDefault="00BA66FB" w:rsidP="005D664D">
      <w:pPr>
        <w:spacing w:after="120"/>
        <w:jc w:val="both"/>
        <w:rPr>
          <w:lang w:eastAsia="en-GB"/>
        </w:rPr>
      </w:pPr>
      <w:r w:rsidRPr="004F0D45">
        <w:rPr>
          <w:lang w:eastAsia="en-GB"/>
        </w:rPr>
        <w:t>For PUSCH</w:t>
      </w:r>
      <w:r w:rsidR="00DB178F" w:rsidRPr="004F0D45">
        <w:rPr>
          <w:lang w:eastAsia="en-GB"/>
        </w:rPr>
        <w:t xml:space="preserve"> and </w:t>
      </w:r>
      <w:r w:rsidRPr="004F0D45">
        <w:rPr>
          <w:lang w:eastAsia="en-GB"/>
        </w:rPr>
        <w:t>SRS</w:t>
      </w:r>
      <w:r w:rsidR="004E56BC" w:rsidRPr="004F0D45">
        <w:rPr>
          <w:lang w:eastAsia="en-GB"/>
        </w:rPr>
        <w:t>, the frequency hopping procedure needs to be modified to enable frequency hopping that is confined within the UL-SB in the SBFD slots</w:t>
      </w:r>
      <w:r w:rsidR="002268A7" w:rsidRPr="004F0D45">
        <w:rPr>
          <w:lang w:eastAsia="en-GB"/>
        </w:rPr>
        <w:t>/symbols</w:t>
      </w:r>
      <w:r w:rsidR="004E56BC" w:rsidRPr="004F0D45">
        <w:rPr>
          <w:lang w:eastAsia="en-GB"/>
        </w:rPr>
        <w:t xml:space="preserve">. </w:t>
      </w:r>
      <w:r w:rsidRPr="004F0D45">
        <w:rPr>
          <w:lang w:eastAsia="en-GB"/>
        </w:rPr>
        <w:t>This</w:t>
      </w:r>
      <w:r w:rsidR="00DB178F" w:rsidRPr="004F0D45">
        <w:rPr>
          <w:lang w:eastAsia="en-GB"/>
        </w:rPr>
        <w:t xml:space="preserve"> can be achieved by changing the expressions used for calculating the frequency domain position in both cases. </w:t>
      </w:r>
      <w:r w:rsidRPr="004F0D45">
        <w:rPr>
          <w:lang w:eastAsia="en-GB"/>
        </w:rPr>
        <w:t xml:space="preserve"> </w:t>
      </w:r>
    </w:p>
    <w:p w14:paraId="4836F281" w14:textId="0492FFB9" w:rsidR="00D34584" w:rsidRPr="004F0D45" w:rsidRDefault="00D34584" w:rsidP="00A34E96">
      <w:pPr>
        <w:shd w:val="clear" w:color="auto" w:fill="FFFFFF"/>
        <w:spacing w:after="60"/>
        <w:jc w:val="both"/>
        <w:rPr>
          <w:b/>
          <w:bCs/>
          <w:i/>
          <w:iCs/>
        </w:rPr>
      </w:pPr>
      <w:bookmarkStart w:id="80" w:name="_Ref111210734"/>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F230AB" w:rsidRPr="004F0D45">
        <w:rPr>
          <w:b/>
          <w:bCs/>
          <w:i/>
          <w:iCs/>
          <w:noProof/>
        </w:rPr>
        <w:t>16</w:t>
      </w:r>
      <w:r w:rsidRPr="004F0D45">
        <w:rPr>
          <w:b/>
          <w:bCs/>
          <w:i/>
          <w:iCs/>
        </w:rPr>
        <w:fldChar w:fldCharType="end"/>
      </w:r>
      <w:r w:rsidRPr="004F0D45">
        <w:rPr>
          <w:b/>
          <w:bCs/>
          <w:i/>
          <w:iCs/>
        </w:rPr>
        <w:t xml:space="preserve">: </w:t>
      </w:r>
      <w:bookmarkStart w:id="81" w:name="_Ref118365612"/>
      <w:r w:rsidRPr="004F0D45">
        <w:rPr>
          <w:b/>
          <w:bCs/>
          <w:i/>
          <w:iCs/>
          <w:lang w:eastAsia="en-GB"/>
        </w:rPr>
        <w:t>When frequency hopping is enabled for</w:t>
      </w:r>
      <w:r w:rsidR="000C00EC" w:rsidRPr="004F0D45">
        <w:rPr>
          <w:b/>
          <w:bCs/>
          <w:i/>
          <w:iCs/>
          <w:lang w:eastAsia="en-GB"/>
        </w:rPr>
        <w:t xml:space="preserve"> PUSCH/PUCCH</w:t>
      </w:r>
      <w:r w:rsidR="00673CF8" w:rsidRPr="004F0D45">
        <w:rPr>
          <w:b/>
          <w:bCs/>
          <w:i/>
          <w:iCs/>
          <w:lang w:eastAsia="en-GB"/>
        </w:rPr>
        <w:t>/</w:t>
      </w:r>
      <w:r w:rsidR="00DB178F" w:rsidRPr="004F0D45">
        <w:rPr>
          <w:b/>
          <w:bCs/>
          <w:i/>
          <w:iCs/>
          <w:lang w:eastAsia="en-GB"/>
        </w:rPr>
        <w:t>SRS</w:t>
      </w:r>
      <w:r w:rsidR="000C00EC" w:rsidRPr="004F0D45">
        <w:rPr>
          <w:b/>
          <w:bCs/>
          <w:i/>
          <w:iCs/>
          <w:lang w:eastAsia="en-GB"/>
        </w:rPr>
        <w:t xml:space="preserve"> transmission</w:t>
      </w:r>
      <w:r w:rsidRPr="004F0D45">
        <w:rPr>
          <w:b/>
          <w:bCs/>
          <w:i/>
          <w:iCs/>
          <w:lang w:eastAsia="en-GB"/>
        </w:rPr>
        <w:t xml:space="preserve"> </w:t>
      </w:r>
      <w:r w:rsidR="000C00EC" w:rsidRPr="004F0D45">
        <w:rPr>
          <w:b/>
          <w:bCs/>
          <w:i/>
          <w:iCs/>
          <w:lang w:eastAsia="en-GB"/>
        </w:rPr>
        <w:t xml:space="preserve">in </w:t>
      </w:r>
      <w:r w:rsidRPr="004F0D45">
        <w:rPr>
          <w:b/>
          <w:bCs/>
          <w:i/>
          <w:iCs/>
          <w:lang w:eastAsia="en-GB"/>
        </w:rPr>
        <w:t xml:space="preserve">SBFD, the resource allocation with </w:t>
      </w:r>
      <w:r w:rsidR="00DB178F" w:rsidRPr="004F0D45">
        <w:rPr>
          <w:b/>
          <w:bCs/>
          <w:i/>
          <w:iCs/>
          <w:lang w:eastAsia="en-GB"/>
        </w:rPr>
        <w:t>frequency</w:t>
      </w:r>
      <w:r w:rsidR="000C00EC" w:rsidRPr="004F0D45">
        <w:rPr>
          <w:b/>
          <w:bCs/>
          <w:i/>
          <w:iCs/>
          <w:lang w:eastAsia="en-GB"/>
        </w:rPr>
        <w:t xml:space="preserve"> hop</w:t>
      </w:r>
      <w:r w:rsidR="00DB178F" w:rsidRPr="004F0D45">
        <w:rPr>
          <w:b/>
          <w:bCs/>
          <w:i/>
          <w:iCs/>
          <w:lang w:eastAsia="en-GB"/>
        </w:rPr>
        <w:t>ping</w:t>
      </w:r>
      <w:r w:rsidR="000C00EC" w:rsidRPr="004F0D45">
        <w:rPr>
          <w:b/>
          <w:bCs/>
          <w:i/>
          <w:iCs/>
          <w:lang w:eastAsia="en-GB"/>
        </w:rPr>
        <w:t xml:space="preserve"> </w:t>
      </w:r>
      <w:r w:rsidRPr="004F0D45">
        <w:rPr>
          <w:b/>
          <w:bCs/>
          <w:i/>
          <w:iCs/>
          <w:lang w:eastAsia="en-GB"/>
        </w:rPr>
        <w:t>may not be confined within the UL subband of SBFD partitioned slot</w:t>
      </w:r>
      <w:r w:rsidR="000C00EC" w:rsidRPr="004F0D45">
        <w:rPr>
          <w:b/>
          <w:bCs/>
          <w:i/>
          <w:iCs/>
          <w:lang w:eastAsia="en-GB"/>
        </w:rPr>
        <w:t>s/symbols</w:t>
      </w:r>
      <w:r w:rsidRPr="004F0D45">
        <w:rPr>
          <w:b/>
          <w:bCs/>
          <w:i/>
          <w:iCs/>
        </w:rPr>
        <w:t>.</w:t>
      </w:r>
      <w:bookmarkEnd w:id="80"/>
      <w:bookmarkEnd w:id="81"/>
    </w:p>
    <w:p w14:paraId="691BB9F5" w14:textId="7F5FCDF4" w:rsidR="000B1E00" w:rsidRPr="004F0D45" w:rsidRDefault="00D34584" w:rsidP="00A34E96">
      <w:pPr>
        <w:shd w:val="clear" w:color="auto" w:fill="FFFFFF"/>
        <w:spacing w:after="60"/>
        <w:jc w:val="both"/>
        <w:rPr>
          <w:b/>
          <w:bCs/>
          <w:i/>
          <w:iCs/>
        </w:rPr>
      </w:pPr>
      <w:bookmarkStart w:id="82" w:name="_Ref111210895"/>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26</w:t>
      </w:r>
      <w:r w:rsidRPr="004F0D45">
        <w:rPr>
          <w:b/>
          <w:bCs/>
          <w:i/>
          <w:iCs/>
        </w:rPr>
        <w:fldChar w:fldCharType="end"/>
      </w:r>
      <w:r w:rsidRPr="004F0D45">
        <w:rPr>
          <w:b/>
          <w:bCs/>
          <w:i/>
          <w:iCs/>
        </w:rPr>
        <w:t>:</w:t>
      </w:r>
      <w:r w:rsidRPr="004F0D45">
        <w:rPr>
          <w:b/>
          <w:bCs/>
          <w:i/>
          <w:iCs/>
          <w:lang w:eastAsia="en-GB"/>
        </w:rPr>
        <w:t xml:space="preserve"> </w:t>
      </w:r>
      <w:bookmarkStart w:id="83" w:name="_Ref118363748"/>
      <w:bookmarkEnd w:id="82"/>
      <w:r w:rsidR="00F20F53" w:rsidRPr="004F0D45">
        <w:rPr>
          <w:b/>
          <w:bCs/>
          <w:i/>
          <w:iCs/>
          <w:lang w:eastAsia="en-GB"/>
        </w:rPr>
        <w:t>Modify the frequency hopping procedure for PUSCH</w:t>
      </w:r>
      <w:r w:rsidR="00521669" w:rsidRPr="004F0D45">
        <w:rPr>
          <w:b/>
          <w:bCs/>
          <w:i/>
          <w:iCs/>
          <w:lang w:eastAsia="en-GB"/>
        </w:rPr>
        <w:t xml:space="preserve"> and SRS</w:t>
      </w:r>
      <w:r w:rsidR="00F20F53" w:rsidRPr="004F0D45">
        <w:rPr>
          <w:b/>
          <w:bCs/>
          <w:i/>
          <w:iCs/>
        </w:rPr>
        <w:t xml:space="preserve"> </w:t>
      </w:r>
      <w:r w:rsidR="00F20F53" w:rsidRPr="004F0D45">
        <w:rPr>
          <w:b/>
          <w:bCs/>
          <w:i/>
          <w:iCs/>
          <w:lang w:eastAsia="en-GB"/>
        </w:rPr>
        <w:t>to ensure that the frequency domain position is confined within the UL-SB in the SBFD slots</w:t>
      </w:r>
      <w:bookmarkEnd w:id="83"/>
      <w:r w:rsidR="00521669" w:rsidRPr="004F0D45">
        <w:rPr>
          <w:b/>
          <w:bCs/>
          <w:i/>
          <w:iCs/>
          <w:lang w:eastAsia="en-GB"/>
        </w:rPr>
        <w:t>/symbols</w:t>
      </w:r>
    </w:p>
    <w:p w14:paraId="3E42B546" w14:textId="3F4C6D8E" w:rsidR="000C00EC" w:rsidRPr="004F0D45" w:rsidRDefault="000C00EC" w:rsidP="00A34E96">
      <w:pPr>
        <w:shd w:val="clear" w:color="auto" w:fill="FFFFFF"/>
        <w:spacing w:after="60"/>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27</w:t>
      </w:r>
      <w:r w:rsidRPr="004F0D45">
        <w:rPr>
          <w:b/>
          <w:bCs/>
          <w:i/>
          <w:iCs/>
        </w:rPr>
        <w:fldChar w:fldCharType="end"/>
      </w:r>
      <w:r w:rsidRPr="004F0D45">
        <w:rPr>
          <w:b/>
          <w:bCs/>
          <w:i/>
          <w:iCs/>
        </w:rPr>
        <w:t>:</w:t>
      </w:r>
      <w:r w:rsidRPr="004F0D45">
        <w:rPr>
          <w:b/>
          <w:bCs/>
          <w:i/>
          <w:iCs/>
          <w:lang w:eastAsia="en-GB"/>
        </w:rPr>
        <w:t xml:space="preserve"> </w:t>
      </w:r>
      <w:bookmarkStart w:id="84" w:name="_Ref118363775"/>
      <w:r w:rsidRPr="004F0D45">
        <w:rPr>
          <w:b/>
          <w:bCs/>
          <w:i/>
          <w:iCs/>
        </w:rPr>
        <w:t>Support</w:t>
      </w:r>
      <w:r w:rsidR="003663B4" w:rsidRPr="004F0D45">
        <w:rPr>
          <w:b/>
          <w:bCs/>
          <w:i/>
          <w:iCs/>
        </w:rPr>
        <w:t xml:space="preserve"> separate</w:t>
      </w:r>
      <w:r w:rsidRPr="004F0D45">
        <w:rPr>
          <w:b/>
          <w:bCs/>
          <w:i/>
          <w:iCs/>
        </w:rPr>
        <w:t xml:space="preserve"> frequency domain resource allocations for intra-slot and inter-slot frequency hopping for PUCCH transmission based on slot type</w:t>
      </w:r>
      <w:bookmarkEnd w:id="84"/>
    </w:p>
    <w:p w14:paraId="5F720DA2" w14:textId="229A0EC6" w:rsidR="00894406" w:rsidRPr="004F0D45" w:rsidRDefault="00D34584" w:rsidP="005D664D">
      <w:pPr>
        <w:shd w:val="clear" w:color="auto" w:fill="FFFFFF"/>
        <w:spacing w:after="120"/>
        <w:jc w:val="both"/>
        <w:rPr>
          <w:b/>
          <w:bCs/>
          <w:i/>
          <w:iCs/>
        </w:rPr>
      </w:pPr>
      <w:bookmarkStart w:id="85" w:name="_Ref111210896"/>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28</w:t>
      </w:r>
      <w:r w:rsidRPr="004F0D45">
        <w:rPr>
          <w:b/>
          <w:bCs/>
          <w:i/>
          <w:iCs/>
        </w:rPr>
        <w:fldChar w:fldCharType="end"/>
      </w:r>
      <w:r w:rsidRPr="004F0D45">
        <w:rPr>
          <w:b/>
          <w:bCs/>
          <w:i/>
          <w:iCs/>
        </w:rPr>
        <w:t>:</w:t>
      </w:r>
      <w:r w:rsidRPr="004F0D45">
        <w:rPr>
          <w:b/>
          <w:bCs/>
          <w:i/>
          <w:iCs/>
          <w:lang w:eastAsia="en-GB"/>
        </w:rPr>
        <w:t xml:space="preserve"> </w:t>
      </w:r>
      <w:bookmarkStart w:id="86" w:name="_Ref118363790"/>
      <w:r w:rsidR="005A57CB" w:rsidRPr="004F0D45">
        <w:rPr>
          <w:b/>
          <w:bCs/>
          <w:i/>
          <w:iCs/>
          <w:lang w:eastAsia="en-GB"/>
        </w:rPr>
        <w:t>Support</w:t>
      </w:r>
      <w:r w:rsidR="00BD2744" w:rsidRPr="004F0D45">
        <w:rPr>
          <w:b/>
          <w:bCs/>
          <w:i/>
          <w:iCs/>
          <w:lang w:eastAsia="en-GB"/>
        </w:rPr>
        <w:t xml:space="preserve"> PUSCH</w:t>
      </w:r>
      <w:r w:rsidR="000B1E00" w:rsidRPr="004F0D45">
        <w:rPr>
          <w:b/>
          <w:bCs/>
          <w:i/>
          <w:iCs/>
          <w:lang w:eastAsia="en-GB"/>
        </w:rPr>
        <w:t>/PUCCH</w:t>
      </w:r>
      <w:r w:rsidR="00521669" w:rsidRPr="004F0D45">
        <w:rPr>
          <w:b/>
          <w:bCs/>
          <w:i/>
          <w:iCs/>
          <w:lang w:eastAsia="en-GB"/>
        </w:rPr>
        <w:t>/SRS</w:t>
      </w:r>
      <w:r w:rsidR="005A57CB" w:rsidRPr="004F0D45">
        <w:rPr>
          <w:b/>
          <w:bCs/>
          <w:i/>
          <w:iCs/>
          <w:lang w:eastAsia="en-GB"/>
        </w:rPr>
        <w:t xml:space="preserve"> frequency hopping </w:t>
      </w:r>
      <w:r w:rsidR="00F841C0" w:rsidRPr="004F0D45">
        <w:rPr>
          <w:b/>
          <w:bCs/>
          <w:i/>
          <w:iCs/>
          <w:lang w:eastAsia="en-GB"/>
        </w:rPr>
        <w:t xml:space="preserve">only </w:t>
      </w:r>
      <w:r w:rsidR="005A57CB" w:rsidRPr="004F0D45">
        <w:rPr>
          <w:b/>
          <w:bCs/>
          <w:i/>
          <w:iCs/>
          <w:lang w:eastAsia="en-GB"/>
        </w:rPr>
        <w:t xml:space="preserve">in </w:t>
      </w:r>
      <w:r w:rsidR="00A43742" w:rsidRPr="004F0D45">
        <w:rPr>
          <w:b/>
          <w:bCs/>
          <w:i/>
          <w:iCs/>
          <w:lang w:eastAsia="en-GB"/>
        </w:rPr>
        <w:t>the non-SBFD</w:t>
      </w:r>
      <w:r w:rsidR="005A57CB" w:rsidRPr="004F0D45">
        <w:rPr>
          <w:b/>
          <w:bCs/>
          <w:i/>
          <w:iCs/>
          <w:lang w:eastAsia="en-GB"/>
        </w:rPr>
        <w:t xml:space="preserve"> slots for inter-slot frequency hopping</w:t>
      </w:r>
      <w:r w:rsidRPr="004F0D45">
        <w:rPr>
          <w:b/>
          <w:bCs/>
          <w:i/>
          <w:iCs/>
        </w:rPr>
        <w:t>.</w:t>
      </w:r>
      <w:bookmarkEnd w:id="85"/>
      <w:bookmarkEnd w:id="86"/>
    </w:p>
    <w:p w14:paraId="225628D9" w14:textId="4B8B511E" w:rsidR="002A092C" w:rsidRPr="004F0D45" w:rsidRDefault="002A092C" w:rsidP="002D4830">
      <w:pPr>
        <w:pStyle w:val="Heading3"/>
      </w:pPr>
      <w:r w:rsidRPr="004F0D45">
        <w:t xml:space="preserve">PUSCH </w:t>
      </w:r>
      <w:r w:rsidR="00961FBF" w:rsidRPr="004F0D45">
        <w:t>r</w:t>
      </w:r>
      <w:r w:rsidRPr="004F0D45">
        <w:t xml:space="preserve">esource </w:t>
      </w:r>
      <w:r w:rsidR="00961FBF" w:rsidRPr="004F0D45">
        <w:t>f</w:t>
      </w:r>
      <w:r w:rsidRPr="004F0D45">
        <w:t xml:space="preserve">ragmentation in SBFD </w:t>
      </w:r>
    </w:p>
    <w:p w14:paraId="031710BB" w14:textId="44D93CFD" w:rsidR="008A3967" w:rsidRPr="004F0D45" w:rsidRDefault="008A3967" w:rsidP="005D664D">
      <w:pPr>
        <w:jc w:val="both"/>
      </w:pPr>
      <w:r w:rsidRPr="004F0D45">
        <w:t>The main advantage of SBFD systems is to provide improved UL coverage and reduced latency by enabling more UL transmission opportunities. While enabling SBFD, it</w:t>
      </w:r>
      <w:r w:rsidR="00502050" w:rsidRPr="004F0D45">
        <w:t xml:space="preserve"> is</w:t>
      </w:r>
      <w:r w:rsidRPr="004F0D45">
        <w:t xml:space="preserve"> important to minimize the impact on legacy UEs. For CG PUSCH transmissions, an issue that can arise is PUSCH resource fragmentation in</w:t>
      </w:r>
      <w:r w:rsidR="007B3976" w:rsidRPr="004F0D45">
        <w:t xml:space="preserve"> non-SBFD</w:t>
      </w:r>
      <w:r w:rsidRPr="004F0D45">
        <w:t xml:space="preserve"> slots</w:t>
      </w:r>
      <w:r w:rsidR="00970EB7" w:rsidRPr="004F0D45">
        <w:t>/symbols</w:t>
      </w:r>
      <w:r w:rsidRPr="004F0D45">
        <w:t>. Based on the current specification a single FDRA is configured for all slots within the defined CG PUSCH periodicity. Consequently, when a CG PUSCH transmission begins on a SBFD slot</w:t>
      </w:r>
      <w:r w:rsidR="00970EB7" w:rsidRPr="004F0D45">
        <w:t>/symbol</w:t>
      </w:r>
      <w:r w:rsidRPr="004F0D45">
        <w:t xml:space="preserve">, the configured frequency domain resource will be applied on </w:t>
      </w:r>
      <w:r w:rsidR="007B3976" w:rsidRPr="004F0D45">
        <w:t>non-SBFD</w:t>
      </w:r>
      <w:r w:rsidRPr="004F0D45">
        <w:t xml:space="preserve"> slots</w:t>
      </w:r>
      <w:r w:rsidR="00970EB7" w:rsidRPr="004F0D45">
        <w:t>/symbols</w:t>
      </w:r>
      <w:r w:rsidRPr="004F0D45">
        <w:t xml:space="preserve"> as shown in </w:t>
      </w:r>
      <w:r w:rsidR="00897D8C" w:rsidRPr="004F0D45">
        <w:fldChar w:fldCharType="begin"/>
      </w:r>
      <w:r w:rsidR="00897D8C" w:rsidRPr="004F0D45">
        <w:instrText xml:space="preserve"> REF _Ref115444580 \h </w:instrText>
      </w:r>
      <w:r w:rsidR="00397FE2" w:rsidRPr="004F0D45">
        <w:instrText xml:space="preserve"> \* MERGEFORMAT </w:instrText>
      </w:r>
      <w:r w:rsidR="00897D8C" w:rsidRPr="004F0D45">
        <w:fldChar w:fldCharType="separate"/>
      </w:r>
      <w:r w:rsidR="00F230AB" w:rsidRPr="004F0D45">
        <w:t xml:space="preserve">Figure </w:t>
      </w:r>
      <w:r w:rsidR="00F230AB" w:rsidRPr="004F0D45">
        <w:rPr>
          <w:noProof/>
        </w:rPr>
        <w:t>11</w:t>
      </w:r>
      <w:r w:rsidR="00897D8C" w:rsidRPr="004F0D45">
        <w:fldChar w:fldCharType="end"/>
      </w:r>
      <w:r w:rsidRPr="004F0D45">
        <w:t xml:space="preserve">. This will fragment the bandwidth on </w:t>
      </w:r>
      <w:r w:rsidR="007B3976" w:rsidRPr="004F0D45">
        <w:t>non-SBFD</w:t>
      </w:r>
      <w:r w:rsidRPr="004F0D45">
        <w:t xml:space="preserve"> slot</w:t>
      </w:r>
      <w:r w:rsidR="00970EB7" w:rsidRPr="004F0D45">
        <w:t>s/symbols</w:t>
      </w:r>
      <w:r w:rsidRPr="004F0D45">
        <w:t>, which will prevent the BS from allocating contiguous PUSCH resources on the entire UL BWP. Note that, even though FDRA Type 0 is specified for PUSCH transmission, it is an optional feature for a Rel-15/16 UE. As a result, a legacy UE cannot be expected to support non-contiguous PUSCH resource allocation. For a</w:t>
      </w:r>
      <w:r w:rsidR="00A66417" w:rsidRPr="004F0D45">
        <w:t xml:space="preserve"> non-SBFD slot</w:t>
      </w:r>
      <w:r w:rsidRPr="004F0D45">
        <w:t xml:space="preserve"> with a bandwidth of 100MHz the transmission on a SBFD</w:t>
      </w:r>
      <w:r w:rsidR="007B3976" w:rsidRPr="004F0D45">
        <w:t xml:space="preserve"> slot</w:t>
      </w:r>
      <w:r w:rsidRPr="004F0D45">
        <w:t xml:space="preserve"> could fragment this into two contiguous subbands of 40MHz each, considering an UL-SB of 20MHz. This means that the BS can only allocate contiguous resources on a 40MHz bandwidth.  </w:t>
      </w:r>
    </w:p>
    <w:p w14:paraId="24F0BC6D" w14:textId="622FEC69" w:rsidR="00894406" w:rsidRPr="004F0D45" w:rsidRDefault="002A092C" w:rsidP="00084754">
      <w:pPr>
        <w:spacing w:after="0"/>
        <w:contextualSpacing/>
        <w:jc w:val="center"/>
      </w:pPr>
      <w:r w:rsidRPr="004F0D45">
        <w:rPr>
          <w:noProof/>
        </w:rPr>
        <w:lastRenderedPageBreak/>
        <w:drawing>
          <wp:inline distT="0" distB="0" distL="0" distR="0" wp14:anchorId="5B5C1C8B" wp14:editId="09426D95">
            <wp:extent cx="3548380" cy="10972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48380" cy="1097280"/>
                    </a:xfrm>
                    <a:prstGeom prst="rect">
                      <a:avLst/>
                    </a:prstGeom>
                    <a:noFill/>
                  </pic:spPr>
                </pic:pic>
              </a:graphicData>
            </a:graphic>
          </wp:inline>
        </w:drawing>
      </w:r>
    </w:p>
    <w:p w14:paraId="6DB78FE7" w14:textId="04A133FC" w:rsidR="002A092C" w:rsidRPr="004F0D45" w:rsidRDefault="00815D29" w:rsidP="005A07CF">
      <w:pPr>
        <w:spacing w:after="120"/>
        <w:jc w:val="center"/>
      </w:pPr>
      <w:bookmarkStart w:id="87" w:name="_Ref115444580"/>
      <w:r w:rsidRPr="004F0D45">
        <w:t xml:space="preserve">Figure </w:t>
      </w:r>
      <w:r w:rsidRPr="004F0D45">
        <w:fldChar w:fldCharType="begin"/>
      </w:r>
      <w:r w:rsidRPr="004F0D45">
        <w:instrText xml:space="preserve"> SEQ Figure \* ARABIC </w:instrText>
      </w:r>
      <w:r w:rsidRPr="004F0D45">
        <w:fldChar w:fldCharType="separate"/>
      </w:r>
      <w:r w:rsidR="00F230AB" w:rsidRPr="004F0D45">
        <w:rPr>
          <w:noProof/>
        </w:rPr>
        <w:t>11</w:t>
      </w:r>
      <w:r w:rsidRPr="004F0D45">
        <w:rPr>
          <w:noProof/>
        </w:rPr>
        <w:fldChar w:fldCharType="end"/>
      </w:r>
      <w:bookmarkEnd w:id="87"/>
      <w:r w:rsidRPr="004F0D45">
        <w:t xml:space="preserve">: </w:t>
      </w:r>
      <w:r w:rsidR="002A092C" w:rsidRPr="004F0D45">
        <w:t>Example of PUSCH resource fragmentation in SBFD.</w:t>
      </w:r>
    </w:p>
    <w:p w14:paraId="2EC9971A" w14:textId="6E2C223A" w:rsidR="008A3967" w:rsidRPr="004F0D45" w:rsidRDefault="008A3967" w:rsidP="005D664D">
      <w:pPr>
        <w:jc w:val="both"/>
      </w:pPr>
      <w:bookmarkStart w:id="88" w:name="_Ref115444803"/>
      <w:r w:rsidRPr="004F0D45">
        <w:t xml:space="preserve">One way to avoid the problem of PUSCH fragmentation on </w:t>
      </w:r>
      <w:r w:rsidR="007B3976" w:rsidRPr="004F0D45">
        <w:t>non-SBFD</w:t>
      </w:r>
      <w:r w:rsidRPr="004F0D45">
        <w:t xml:space="preserve"> slots</w:t>
      </w:r>
      <w:r w:rsidR="00B14034" w:rsidRPr="004F0D45">
        <w:t>/symbols</w:t>
      </w:r>
      <w:r w:rsidRPr="004F0D45">
        <w:t xml:space="preserve"> is to allow the possibility of placing the frequency domain resources for CG PUSCH transmission at different locations on SBFD and </w:t>
      </w:r>
      <w:r w:rsidR="007B3976" w:rsidRPr="004F0D45">
        <w:t>non-SBFD</w:t>
      </w:r>
      <w:r w:rsidRPr="004F0D45">
        <w:t xml:space="preserve"> slots</w:t>
      </w:r>
      <w:r w:rsidR="00B14034" w:rsidRPr="004F0D45">
        <w:t>/symbols</w:t>
      </w:r>
      <w:r w:rsidRPr="004F0D45">
        <w:t xml:space="preserve">. For example, for a CG PUSCH transmission, the frequency domain resources can be placed at the edge of the </w:t>
      </w:r>
      <w:r w:rsidR="007B3976" w:rsidRPr="004F0D45">
        <w:t>non-SBFD</w:t>
      </w:r>
      <w:r w:rsidRPr="004F0D45">
        <w:t xml:space="preserve"> slots as shown in </w:t>
      </w:r>
      <w:r w:rsidR="00897D8C" w:rsidRPr="004F0D45">
        <w:fldChar w:fldCharType="begin"/>
      </w:r>
      <w:r w:rsidR="00897D8C" w:rsidRPr="004F0D45">
        <w:instrText xml:space="preserve"> REF _Ref115446988 \h </w:instrText>
      </w:r>
      <w:r w:rsidR="00397FE2" w:rsidRPr="004F0D45">
        <w:instrText xml:space="preserve"> \* MERGEFORMAT </w:instrText>
      </w:r>
      <w:r w:rsidR="00897D8C" w:rsidRPr="004F0D45">
        <w:fldChar w:fldCharType="separate"/>
      </w:r>
      <w:r w:rsidR="00F230AB" w:rsidRPr="004F0D45">
        <w:t xml:space="preserve">Figure </w:t>
      </w:r>
      <w:r w:rsidR="00F230AB" w:rsidRPr="004F0D45">
        <w:rPr>
          <w:noProof/>
        </w:rPr>
        <w:t>12</w:t>
      </w:r>
      <w:r w:rsidR="00897D8C" w:rsidRPr="004F0D45">
        <w:fldChar w:fldCharType="end"/>
      </w:r>
      <w:r w:rsidRPr="004F0D45">
        <w:t xml:space="preserve">. By configuring the frequency domain resource at the edge of the UL BWP, the problem of PUSCH fragmentation can be avoided. This means that the BS can allocate contiguous resources on a wider bandwidth, which can improve the UL data rate compared to the case with PUSCH fragmentation. For </w:t>
      </w:r>
      <w:r w:rsidR="004F0D45" w:rsidRPr="004F0D45">
        <w:t>example,</w:t>
      </w:r>
      <w:r w:rsidR="0059203B" w:rsidRPr="004F0D45">
        <w:t xml:space="preserve"> above (with </w:t>
      </w:r>
      <w:r w:rsidRPr="004F0D45">
        <w:t xml:space="preserve">a 100MHz </w:t>
      </w:r>
      <w:r w:rsidR="0059203B" w:rsidRPr="004F0D45">
        <w:t>non-SBFD slot)</w:t>
      </w:r>
      <w:r w:rsidRPr="004F0D45">
        <w:t xml:space="preserve">, the BS can allocate contiguous resources on </w:t>
      </w:r>
      <w:r w:rsidR="007C5D56" w:rsidRPr="004F0D45">
        <w:t>an</w:t>
      </w:r>
      <w:r w:rsidRPr="004F0D45">
        <w:t xml:space="preserve"> </w:t>
      </w:r>
      <w:r w:rsidR="00817334" w:rsidRPr="004F0D45">
        <w:t>8</w:t>
      </w:r>
      <w:r w:rsidRPr="004F0D45">
        <w:t xml:space="preserve">0MHz bandwidth, an increase of 50% compared to the case with PUSCH fragmentation. This shows that avoiding PUSCH fragmentation is essential for the coexistence of legacy and SBFD </w:t>
      </w:r>
      <w:r w:rsidR="007B3976" w:rsidRPr="004F0D45">
        <w:t>aware</w:t>
      </w:r>
      <w:r w:rsidRPr="004F0D45">
        <w:t xml:space="preserve"> UEs. To avoid PUSCH fragmentation, separate FDRA must be configured for the two slot types in SBFD systems. However, the current specification does not support such flexibility in resource allocation. Therefore, to minimize the impact of PUSCH fragmentation on UL performance, a mechanism for enabling</w:t>
      </w:r>
      <w:r w:rsidR="00525692" w:rsidRPr="004F0D45">
        <w:t xml:space="preserve"> separate</w:t>
      </w:r>
      <w:r w:rsidRPr="004F0D45">
        <w:t xml:space="preserve"> FDRAs </w:t>
      </w:r>
      <w:r w:rsidR="00525692" w:rsidRPr="004F0D45">
        <w:t>for</w:t>
      </w:r>
      <w:r w:rsidRPr="004F0D45">
        <w:t xml:space="preserve"> SBFD</w:t>
      </w:r>
      <w:r w:rsidR="00525692" w:rsidRPr="004F0D45">
        <w:t xml:space="preserve"> and non-SBFD slots/symbols must</w:t>
      </w:r>
      <w:r w:rsidRPr="004F0D45">
        <w:t xml:space="preserve"> be introduced.</w:t>
      </w:r>
    </w:p>
    <w:bookmarkEnd w:id="88"/>
    <w:p w14:paraId="050381EC" w14:textId="729BE8F6" w:rsidR="002A092C" w:rsidRPr="004F0D45" w:rsidRDefault="002A092C" w:rsidP="00C26688">
      <w:pPr>
        <w:spacing w:after="0"/>
        <w:jc w:val="center"/>
      </w:pPr>
      <w:r w:rsidRPr="004F0D45">
        <w:rPr>
          <w:noProof/>
        </w:rPr>
        <w:drawing>
          <wp:inline distT="0" distB="0" distL="0" distR="0" wp14:anchorId="62452857" wp14:editId="12297EEE">
            <wp:extent cx="3689405" cy="1109265"/>
            <wp:effectExtent l="0" t="0" r="0" b="0"/>
            <wp:docPr id="21" name="Content Placeholder 20">
              <a:extLst xmlns:a="http://schemas.openxmlformats.org/drawingml/2006/main">
                <a:ext uri="{FF2B5EF4-FFF2-40B4-BE49-F238E27FC236}">
                  <a16:creationId xmlns:a16="http://schemas.microsoft.com/office/drawing/2014/main" id="{6E866ECE-474A-B99D-C63D-9AC402278C5F}"/>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1" name="Content Placeholder 20">
                      <a:extLst>
                        <a:ext uri="{FF2B5EF4-FFF2-40B4-BE49-F238E27FC236}">
                          <a16:creationId xmlns:a16="http://schemas.microsoft.com/office/drawing/2014/main" id="{6E866ECE-474A-B99D-C63D-9AC402278C5F}"/>
                        </a:ext>
                      </a:extLst>
                    </pic:cNvPr>
                    <pic:cNvPicPr>
                      <a:picLocks noGrp="1" noChangeAspect="1"/>
                    </pic:cNvPicPr>
                  </pic:nvPicPr>
                  <pic:blipFill>
                    <a:blip r:embed="rId24"/>
                    <a:stretch>
                      <a:fillRect/>
                    </a:stretch>
                  </pic:blipFill>
                  <pic:spPr>
                    <a:xfrm>
                      <a:off x="0" y="0"/>
                      <a:ext cx="3699847" cy="1112405"/>
                    </a:xfrm>
                    <a:prstGeom prst="rect">
                      <a:avLst/>
                    </a:prstGeom>
                  </pic:spPr>
                </pic:pic>
              </a:graphicData>
            </a:graphic>
          </wp:inline>
        </w:drawing>
      </w:r>
    </w:p>
    <w:p w14:paraId="10B0EAA1" w14:textId="056C962A" w:rsidR="002A092C" w:rsidRPr="004F0D45" w:rsidRDefault="0011059E" w:rsidP="00C26688">
      <w:pPr>
        <w:jc w:val="center"/>
      </w:pPr>
      <w:bookmarkStart w:id="89" w:name="_Ref115446988"/>
      <w:r w:rsidRPr="004F0D45">
        <w:t xml:space="preserve">Figure </w:t>
      </w:r>
      <w:r w:rsidRPr="004F0D45">
        <w:fldChar w:fldCharType="begin"/>
      </w:r>
      <w:r w:rsidRPr="004F0D45">
        <w:instrText xml:space="preserve"> SEQ Figure \* ARABIC </w:instrText>
      </w:r>
      <w:r w:rsidRPr="004F0D45">
        <w:fldChar w:fldCharType="separate"/>
      </w:r>
      <w:r w:rsidR="00F230AB" w:rsidRPr="004F0D45">
        <w:rPr>
          <w:noProof/>
        </w:rPr>
        <w:t>12</w:t>
      </w:r>
      <w:r w:rsidRPr="004F0D45">
        <w:rPr>
          <w:noProof/>
        </w:rPr>
        <w:fldChar w:fldCharType="end"/>
      </w:r>
      <w:bookmarkEnd w:id="89"/>
      <w:r w:rsidRPr="004F0D45">
        <w:t xml:space="preserve">: </w:t>
      </w:r>
      <w:r w:rsidR="002A092C" w:rsidRPr="004F0D45">
        <w:t>Separate FDRA for SBFD slots and UL-only slots to avoid PUSCH resource fragmentation in SBFD.</w:t>
      </w:r>
    </w:p>
    <w:p w14:paraId="6C601AA7" w14:textId="61CF54DC" w:rsidR="002A092C" w:rsidRPr="004F0D45" w:rsidRDefault="00A301CA" w:rsidP="00A34E96">
      <w:pPr>
        <w:shd w:val="clear" w:color="auto" w:fill="FFFFFF"/>
        <w:spacing w:after="60"/>
        <w:jc w:val="both"/>
        <w:rPr>
          <w:b/>
          <w:bCs/>
          <w:i/>
          <w:iCs/>
        </w:rPr>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F230AB" w:rsidRPr="004F0D45">
        <w:rPr>
          <w:b/>
          <w:bCs/>
          <w:i/>
          <w:iCs/>
          <w:noProof/>
        </w:rPr>
        <w:t>17</w:t>
      </w:r>
      <w:r w:rsidRPr="004F0D45">
        <w:rPr>
          <w:b/>
          <w:bCs/>
          <w:i/>
          <w:iCs/>
        </w:rPr>
        <w:fldChar w:fldCharType="end"/>
      </w:r>
      <w:r w:rsidR="002A092C" w:rsidRPr="004F0D45">
        <w:rPr>
          <w:b/>
          <w:bCs/>
          <w:i/>
          <w:iCs/>
        </w:rPr>
        <w:t xml:space="preserve">: </w:t>
      </w:r>
      <w:bookmarkStart w:id="90" w:name="_Ref118365661"/>
      <w:r w:rsidR="002A092C" w:rsidRPr="004F0D45">
        <w:rPr>
          <w:b/>
          <w:bCs/>
          <w:i/>
          <w:iCs/>
        </w:rPr>
        <w:t xml:space="preserve">For </w:t>
      </w:r>
      <w:r w:rsidR="002A092C" w:rsidRPr="004F0D45">
        <w:rPr>
          <w:b/>
          <w:bCs/>
          <w:i/>
          <w:iCs/>
          <w:lang w:eastAsia="en-GB"/>
        </w:rPr>
        <w:t xml:space="preserve">CG PUSCH transmission in SBFD systems PUSCH fragmentation will occur on </w:t>
      </w:r>
      <w:r w:rsidR="007B3976" w:rsidRPr="004F0D45">
        <w:rPr>
          <w:b/>
          <w:bCs/>
          <w:i/>
          <w:iCs/>
          <w:lang w:eastAsia="en-GB"/>
        </w:rPr>
        <w:t>non-SBFD</w:t>
      </w:r>
      <w:r w:rsidR="002A092C" w:rsidRPr="004F0D45">
        <w:rPr>
          <w:b/>
          <w:bCs/>
          <w:i/>
          <w:iCs/>
          <w:lang w:eastAsia="en-GB"/>
        </w:rPr>
        <w:t xml:space="preserve"> slots since the frequency domain resource allocation on SBFD slots is at the centre of the UL BWP</w:t>
      </w:r>
      <w:r w:rsidR="002A092C" w:rsidRPr="004F0D45">
        <w:rPr>
          <w:b/>
          <w:bCs/>
          <w:i/>
          <w:iCs/>
        </w:rPr>
        <w:t>.</w:t>
      </w:r>
      <w:bookmarkEnd w:id="90"/>
    </w:p>
    <w:p w14:paraId="1B2CD139" w14:textId="24BC6A96" w:rsidR="00A03EC2" w:rsidRPr="004F0D45" w:rsidRDefault="003A42CB" w:rsidP="00A34E96">
      <w:pPr>
        <w:spacing w:after="60"/>
        <w:jc w:val="both"/>
        <w:rPr>
          <w:b/>
          <w:bCs/>
          <w:i/>
          <w:iCs/>
          <w:lang w:eastAsia="en-GB"/>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29</w:t>
      </w:r>
      <w:r w:rsidRPr="004F0D45">
        <w:rPr>
          <w:b/>
          <w:bCs/>
          <w:i/>
          <w:iCs/>
        </w:rPr>
        <w:fldChar w:fldCharType="end"/>
      </w:r>
      <w:r w:rsidR="002A092C" w:rsidRPr="004F0D45">
        <w:rPr>
          <w:b/>
          <w:bCs/>
          <w:i/>
          <w:iCs/>
        </w:rPr>
        <w:t>:</w:t>
      </w:r>
      <w:r w:rsidR="002A092C" w:rsidRPr="004F0D45">
        <w:rPr>
          <w:b/>
          <w:bCs/>
          <w:i/>
          <w:iCs/>
          <w:lang w:eastAsia="en-GB"/>
        </w:rPr>
        <w:t xml:space="preserve"> </w:t>
      </w:r>
      <w:bookmarkStart w:id="91" w:name="_Ref118363851"/>
      <w:r w:rsidR="00D565C4" w:rsidRPr="004F0D45">
        <w:rPr>
          <w:b/>
          <w:bCs/>
          <w:i/>
          <w:iCs/>
          <w:lang w:eastAsia="en-GB"/>
        </w:rPr>
        <w:t>To avoid the problem of</w:t>
      </w:r>
      <w:r w:rsidR="00592F90" w:rsidRPr="004F0D45">
        <w:rPr>
          <w:b/>
          <w:bCs/>
          <w:i/>
          <w:iCs/>
          <w:lang w:eastAsia="en-GB"/>
        </w:rPr>
        <w:t xml:space="preserve"> PUSCH</w:t>
      </w:r>
      <w:r w:rsidR="00D565C4" w:rsidRPr="004F0D45">
        <w:rPr>
          <w:b/>
          <w:bCs/>
          <w:i/>
          <w:iCs/>
          <w:lang w:eastAsia="en-GB"/>
        </w:rPr>
        <w:t xml:space="preserve"> fragmentation in SBFD systems, support the option of configuring </w:t>
      </w:r>
      <w:r w:rsidR="003B7373" w:rsidRPr="004F0D45">
        <w:rPr>
          <w:b/>
          <w:bCs/>
          <w:i/>
          <w:iCs/>
          <w:lang w:eastAsia="en-GB"/>
        </w:rPr>
        <w:t>separate</w:t>
      </w:r>
      <w:r w:rsidR="00D565C4" w:rsidRPr="004F0D45">
        <w:rPr>
          <w:b/>
          <w:bCs/>
          <w:i/>
          <w:iCs/>
          <w:lang w:eastAsia="en-GB"/>
        </w:rPr>
        <w:t xml:space="preserve"> FDRA for</w:t>
      </w:r>
      <w:r w:rsidR="003B7373" w:rsidRPr="004F0D45">
        <w:rPr>
          <w:b/>
          <w:bCs/>
          <w:i/>
          <w:iCs/>
          <w:lang w:eastAsia="en-GB"/>
        </w:rPr>
        <w:t xml:space="preserve"> SBFD and non-SBFD slots/symbols.</w:t>
      </w:r>
      <w:r w:rsidR="00D565C4" w:rsidRPr="004F0D45">
        <w:rPr>
          <w:b/>
          <w:bCs/>
          <w:i/>
          <w:iCs/>
          <w:lang w:eastAsia="en-GB"/>
        </w:rPr>
        <w:t xml:space="preserve"> </w:t>
      </w:r>
      <w:bookmarkEnd w:id="91"/>
    </w:p>
    <w:p w14:paraId="742BFF5D" w14:textId="3869B3D7" w:rsidR="00A03EC2" w:rsidRPr="004F0D45" w:rsidRDefault="00A03EC2" w:rsidP="00A03EC2">
      <w:pPr>
        <w:pStyle w:val="Heading2"/>
      </w:pPr>
      <w:r w:rsidRPr="004F0D45">
        <w:t xml:space="preserve">UL/DL timing alignment </w:t>
      </w:r>
    </w:p>
    <w:p w14:paraId="26F44038" w14:textId="5EA83AEC" w:rsidR="00D6329D" w:rsidRPr="004F0D45" w:rsidRDefault="00A03EC2" w:rsidP="00867664">
      <w:pPr>
        <w:jc w:val="both"/>
      </w:pPr>
      <w:r w:rsidRPr="004F0D45">
        <w:t xml:space="preserve">In </w:t>
      </w:r>
      <w:r w:rsidR="00867664" w:rsidRPr="004F0D45">
        <w:t>the current specification</w:t>
      </w:r>
      <w:r w:rsidRPr="004F0D45">
        <w:t xml:space="preserve">, </w:t>
      </w:r>
      <w:r w:rsidR="00867664" w:rsidRPr="004F0D45">
        <w:t>UL</w:t>
      </w:r>
      <w:r w:rsidRPr="004F0D45">
        <w:t xml:space="preserve"> transmission is advanced with respect to </w:t>
      </w:r>
      <w:r w:rsidR="00867664" w:rsidRPr="004F0D45">
        <w:t>DL</w:t>
      </w:r>
      <w:r w:rsidRPr="004F0D45">
        <w:t xml:space="preserve"> frame boundary. Th</w:t>
      </w:r>
      <w:r w:rsidR="00867664" w:rsidRPr="004F0D45">
        <w:t>e</w:t>
      </w:r>
      <w:r w:rsidRPr="004F0D45">
        <w:t xml:space="preserve"> timing advance is</w:t>
      </w:r>
      <w:r w:rsidR="00500AE7" w:rsidRPr="004F0D45">
        <w:t xml:space="preserve"> a</w:t>
      </w:r>
      <w:r w:rsidRPr="004F0D45">
        <w:t xml:space="preserve"> sum of two factors, namely timing advancement offset </w:t>
      </w:r>
      <m:oMath>
        <m:sSub>
          <m:sSubPr>
            <m:ctrlPr>
              <w:rPr>
                <w:rFonts w:ascii="Cambria Math" w:hAnsi="Cambria Math"/>
                <w:i/>
              </w:rPr>
            </m:ctrlPr>
          </m:sSubPr>
          <m:e>
            <m:r>
              <w:rPr>
                <w:rFonts w:ascii="Cambria Math" w:hAnsi="Cambria Math"/>
              </w:rPr>
              <m:t>N</m:t>
            </m:r>
          </m:e>
          <m:sub>
            <m:r>
              <w:rPr>
                <w:rFonts w:ascii="Cambria Math" w:hAnsi="Cambria Math"/>
              </w:rPr>
              <m:t>TA, offset</m:t>
            </m:r>
          </m:sub>
        </m:sSub>
      </m:oMath>
      <w:r w:rsidRPr="004F0D45">
        <w:t xml:space="preserve"> and </w:t>
      </w:r>
      <w:r w:rsidR="00867664" w:rsidRPr="004F0D45">
        <w:t xml:space="preserve">a </w:t>
      </w:r>
      <w:r w:rsidRPr="004F0D45">
        <w:t>compensation</w:t>
      </w:r>
      <w:r w:rsidR="00867664" w:rsidRPr="004F0D45">
        <w:t xml:space="preserve"> factor</w:t>
      </w:r>
      <w:r w:rsidRPr="004F0D45">
        <w:t xml:space="preserve"> for signal propagation time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4F0D45">
        <w:t xml:space="preserve">. In </w:t>
      </w:r>
      <w:r w:rsidR="00867664" w:rsidRPr="004F0D45">
        <w:t>previous RAN1 meetings</w:t>
      </w:r>
      <w:r w:rsidRPr="004F0D45">
        <w:t>, separate timing alignment</w:t>
      </w:r>
      <w:r w:rsidR="00D6329D" w:rsidRPr="004F0D45">
        <w:t xml:space="preserve"> (TA)</w:t>
      </w:r>
      <w:r w:rsidRPr="004F0D45">
        <w:t xml:space="preserve"> for</w:t>
      </w:r>
      <w:r w:rsidR="00867664" w:rsidRPr="004F0D45">
        <w:t xml:space="preserve"> SBFD</w:t>
      </w:r>
      <w:r w:rsidRPr="004F0D45">
        <w:t xml:space="preserve"> and </w:t>
      </w:r>
      <w:r w:rsidR="00D6329D" w:rsidRPr="004F0D45">
        <w:t>non-</w:t>
      </w:r>
      <w:r w:rsidRPr="004F0D45">
        <w:t>SBFD slot</w:t>
      </w:r>
      <w:r w:rsidR="00867664" w:rsidRPr="004F0D45">
        <w:t>s/symbols</w:t>
      </w:r>
      <w:r w:rsidRPr="004F0D45">
        <w:t xml:space="preserve"> has been proposed. Th</w:t>
      </w:r>
      <w:r w:rsidR="00D6329D" w:rsidRPr="004F0D45">
        <w:t>e purpose of this</w:t>
      </w:r>
      <w:r w:rsidRPr="004F0D45">
        <w:t xml:space="preserve"> </w:t>
      </w:r>
      <w:r w:rsidR="00D6329D" w:rsidRPr="004F0D45">
        <w:t>is to</w:t>
      </w:r>
      <w:r w:rsidRPr="004F0D45">
        <w:t xml:space="preserve"> reduc</w:t>
      </w:r>
      <w:r w:rsidR="00D6329D" w:rsidRPr="004F0D45">
        <w:t>e</w:t>
      </w:r>
      <w:r w:rsidRPr="004F0D45">
        <w:t xml:space="preserve"> inter-gNB CLI by aligning interfering </w:t>
      </w:r>
      <w:r w:rsidR="00867664" w:rsidRPr="004F0D45">
        <w:t>DL</w:t>
      </w:r>
      <w:r w:rsidRPr="004F0D45">
        <w:t xml:space="preserve"> symbols and </w:t>
      </w:r>
      <w:r w:rsidR="00D6329D" w:rsidRPr="004F0D45">
        <w:t>UL</w:t>
      </w:r>
      <w:r w:rsidRPr="004F0D45">
        <w:t xml:space="preserve"> received symbols.</w:t>
      </w:r>
      <w:r w:rsidR="00D6329D" w:rsidRPr="004F0D45">
        <w:t xml:space="preserve"> However, applying separate TA for SBFD and non-SBFD slots/symbols may negatively impact the operation of legacy (non-SBFD aware) UEs. Evaluation results in [</w:t>
      </w:r>
      <w:r w:rsidR="002B6302" w:rsidRPr="004F0D45">
        <w:t>6</w:t>
      </w:r>
      <w:r w:rsidR="00D6329D" w:rsidRPr="004F0D45">
        <w:t xml:space="preserve">] </w:t>
      </w:r>
      <w:r w:rsidR="00500AE7" w:rsidRPr="004F0D45">
        <w:t xml:space="preserve">show </w:t>
      </w:r>
      <w:r w:rsidR="00D6329D" w:rsidRPr="004F0D45">
        <w:t xml:space="preserve">that applying slot-specific TA achieves only a marginal performance improvement. </w:t>
      </w:r>
      <w:r w:rsidR="005530AC" w:rsidRPr="004F0D45">
        <w:t xml:space="preserve">In our opinion, such marginal gain is not justified considering the possible negative impact on legacy UEs. Therefore, we prefer to keep the legacy TA procedure for SBFD operation, i.e., SBFD and non-SBFD slots/symbols will be configured with the same TA. This can allow legacy UEs to operate in SBFD slots.  </w:t>
      </w:r>
      <w:r w:rsidR="00D6329D" w:rsidRPr="004F0D45">
        <w:t xml:space="preserve">  </w:t>
      </w:r>
      <w:r w:rsidRPr="004F0D45">
        <w:t xml:space="preserve"> </w:t>
      </w:r>
    </w:p>
    <w:p w14:paraId="1EC9F748" w14:textId="77F3A325" w:rsidR="00A03EC2" w:rsidRPr="004F0D45" w:rsidRDefault="005530AC" w:rsidP="00867664">
      <w:pPr>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30</w:t>
      </w:r>
      <w:r w:rsidRPr="004F0D45">
        <w:rPr>
          <w:b/>
          <w:bCs/>
          <w:i/>
          <w:iCs/>
        </w:rPr>
        <w:fldChar w:fldCharType="end"/>
      </w:r>
      <w:r w:rsidRPr="004F0D45">
        <w:rPr>
          <w:b/>
          <w:bCs/>
          <w:i/>
          <w:iCs/>
        </w:rPr>
        <w:t>:</w:t>
      </w:r>
      <w:r w:rsidRPr="004F0D45">
        <w:rPr>
          <w:b/>
          <w:bCs/>
          <w:i/>
          <w:iCs/>
          <w:lang w:eastAsia="en-GB"/>
        </w:rPr>
        <w:t xml:space="preserve"> </w:t>
      </w:r>
      <w:bookmarkStart w:id="92" w:name="_Ref134715292"/>
      <w:r w:rsidR="00845936" w:rsidRPr="004F0D45">
        <w:rPr>
          <w:b/>
          <w:bCs/>
          <w:i/>
          <w:iCs/>
          <w:lang w:eastAsia="en-GB"/>
        </w:rPr>
        <w:t xml:space="preserve">For SBFD operation, </w:t>
      </w:r>
      <w:r w:rsidR="00845936" w:rsidRPr="004F0D45">
        <w:rPr>
          <w:b/>
          <w:bCs/>
          <w:i/>
          <w:iCs/>
        </w:rPr>
        <w:t>a</w:t>
      </w:r>
      <w:r w:rsidR="00A03EC2" w:rsidRPr="004F0D45">
        <w:rPr>
          <w:b/>
          <w:bCs/>
          <w:i/>
          <w:iCs/>
        </w:rPr>
        <w:t xml:space="preserve">pply </w:t>
      </w:r>
      <w:r w:rsidR="00845936" w:rsidRPr="004F0D45">
        <w:rPr>
          <w:b/>
          <w:bCs/>
          <w:i/>
          <w:iCs/>
        </w:rPr>
        <w:t>the</w:t>
      </w:r>
      <w:r w:rsidRPr="004F0D45">
        <w:rPr>
          <w:b/>
          <w:bCs/>
          <w:i/>
          <w:iCs/>
        </w:rPr>
        <w:t xml:space="preserve"> same</w:t>
      </w:r>
      <w:r w:rsidR="00A03EC2" w:rsidRPr="004F0D45">
        <w:rPr>
          <w:b/>
          <w:bCs/>
          <w:i/>
          <w:iCs/>
        </w:rPr>
        <w:t xml:space="preserve"> timing alignment</w:t>
      </w:r>
      <w:r w:rsidR="00A03EC2" w:rsidRPr="004F0D45">
        <w:t xml:space="preserve"> </w:t>
      </w:r>
      <w:r w:rsidR="00A03EC2" w:rsidRPr="004F0D45">
        <w:rPr>
          <w:b/>
          <w:bCs/>
          <w:i/>
          <w:iCs/>
        </w:rPr>
        <w:t xml:space="preserve">across </w:t>
      </w:r>
      <w:r w:rsidRPr="004F0D45">
        <w:rPr>
          <w:b/>
          <w:bCs/>
          <w:i/>
          <w:iCs/>
        </w:rPr>
        <w:t>SBFD</w:t>
      </w:r>
      <w:r w:rsidR="00A03EC2" w:rsidRPr="004F0D45">
        <w:rPr>
          <w:b/>
          <w:bCs/>
          <w:i/>
          <w:iCs/>
        </w:rPr>
        <w:t xml:space="preserve"> and </w:t>
      </w:r>
      <w:r w:rsidRPr="004F0D45">
        <w:rPr>
          <w:b/>
          <w:bCs/>
          <w:i/>
          <w:iCs/>
        </w:rPr>
        <w:t>non-</w:t>
      </w:r>
      <w:r w:rsidR="00A03EC2" w:rsidRPr="004F0D45">
        <w:rPr>
          <w:b/>
          <w:bCs/>
          <w:i/>
          <w:iCs/>
        </w:rPr>
        <w:t>SBFD slots</w:t>
      </w:r>
      <w:r w:rsidRPr="004F0D45">
        <w:rPr>
          <w:b/>
          <w:bCs/>
          <w:i/>
          <w:iCs/>
        </w:rPr>
        <w:t>/symbols</w:t>
      </w:r>
      <w:r w:rsidR="00A03EC2" w:rsidRPr="004F0D45">
        <w:rPr>
          <w:b/>
          <w:bCs/>
          <w:i/>
          <w:iCs/>
        </w:rPr>
        <w:t>.</w:t>
      </w:r>
      <w:bookmarkEnd w:id="92"/>
    </w:p>
    <w:p w14:paraId="6CA409ED" w14:textId="48921BAD" w:rsidR="009D1CD0" w:rsidRPr="004F0D45" w:rsidRDefault="00576294" w:rsidP="009D1CD0">
      <w:pPr>
        <w:jc w:val="both"/>
        <w:rPr>
          <w:color w:val="000000" w:themeColor="text1"/>
        </w:rPr>
      </w:pPr>
      <w:r w:rsidRPr="004F0D45">
        <w:t xml:space="preserve">However, </w:t>
      </w:r>
      <w:r w:rsidR="00F6752D" w:rsidRPr="004F0D45">
        <w:t xml:space="preserve">for DL reception, </w:t>
      </w:r>
      <w:r w:rsidRPr="004F0D45">
        <w:rPr>
          <w:color w:val="000000" w:themeColor="text1"/>
        </w:rPr>
        <w:t xml:space="preserve">if the legacy TA is applied without any guard interval between </w:t>
      </w:r>
      <w:r w:rsidR="00F6752D" w:rsidRPr="004F0D45">
        <w:rPr>
          <w:color w:val="000000" w:themeColor="text1"/>
        </w:rPr>
        <w:t>a non-SBFD</w:t>
      </w:r>
      <w:r w:rsidRPr="004F0D45">
        <w:rPr>
          <w:color w:val="000000" w:themeColor="text1"/>
        </w:rPr>
        <w:t xml:space="preserve"> slot and the succeeding SBFD slot, it can cause</w:t>
      </w:r>
      <w:r w:rsidR="00F6752D" w:rsidRPr="004F0D45">
        <w:rPr>
          <w:color w:val="000000" w:themeColor="text1"/>
        </w:rPr>
        <w:t xml:space="preserve"> severe</w:t>
      </w:r>
      <w:r w:rsidRPr="004F0D45">
        <w:rPr>
          <w:color w:val="000000" w:themeColor="text1"/>
        </w:rPr>
        <w:t xml:space="preserve"> intra-band inter-UE CLI to the </w:t>
      </w:r>
      <w:r w:rsidR="00F6752D" w:rsidRPr="004F0D45">
        <w:rPr>
          <w:color w:val="000000" w:themeColor="text1"/>
        </w:rPr>
        <w:t>DL</w:t>
      </w:r>
      <w:r w:rsidRPr="004F0D45">
        <w:rPr>
          <w:color w:val="000000" w:themeColor="text1"/>
        </w:rPr>
        <w:t xml:space="preserve"> receiving UEs. This is due to the signal overlap from the </w:t>
      </w:r>
      <w:r w:rsidR="00F6752D" w:rsidRPr="004F0D45">
        <w:rPr>
          <w:color w:val="000000" w:themeColor="text1"/>
        </w:rPr>
        <w:t>UL</w:t>
      </w:r>
      <w:r w:rsidRPr="004F0D45">
        <w:rPr>
          <w:color w:val="000000" w:themeColor="text1"/>
        </w:rPr>
        <w:t xml:space="preserve"> transmission in the SBFD slot to the signal reception in the </w:t>
      </w:r>
      <w:r w:rsidR="00F6752D" w:rsidRPr="004F0D45">
        <w:rPr>
          <w:color w:val="000000" w:themeColor="text1"/>
        </w:rPr>
        <w:t>non-SBFD</w:t>
      </w:r>
      <w:r w:rsidRPr="004F0D45">
        <w:rPr>
          <w:color w:val="000000" w:themeColor="text1"/>
        </w:rPr>
        <w:t xml:space="preserve"> slot as shown in </w:t>
      </w:r>
      <w:r w:rsidR="000669A3" w:rsidRPr="004F0D45">
        <w:rPr>
          <w:color w:val="000000" w:themeColor="text1"/>
        </w:rPr>
        <w:fldChar w:fldCharType="begin"/>
      </w:r>
      <w:r w:rsidR="000669A3" w:rsidRPr="004F0D45">
        <w:rPr>
          <w:color w:val="000000" w:themeColor="text1"/>
        </w:rPr>
        <w:instrText xml:space="preserve"> REF _Ref134715082 \h </w:instrText>
      </w:r>
      <w:r w:rsidR="004F0D45">
        <w:rPr>
          <w:color w:val="000000" w:themeColor="text1"/>
        </w:rPr>
        <w:instrText xml:space="preserve"> \* MERGEFORMAT </w:instrText>
      </w:r>
      <w:r w:rsidR="000669A3" w:rsidRPr="004F0D45">
        <w:rPr>
          <w:color w:val="000000" w:themeColor="text1"/>
        </w:rPr>
      </w:r>
      <w:r w:rsidR="000669A3" w:rsidRPr="004F0D45">
        <w:rPr>
          <w:color w:val="000000" w:themeColor="text1"/>
        </w:rPr>
        <w:fldChar w:fldCharType="separate"/>
      </w:r>
      <w:r w:rsidR="00F230AB" w:rsidRPr="004F0D45">
        <w:t xml:space="preserve">Figure </w:t>
      </w:r>
      <w:r w:rsidR="00F230AB" w:rsidRPr="004F0D45">
        <w:rPr>
          <w:noProof/>
        </w:rPr>
        <w:t>13</w:t>
      </w:r>
      <w:r w:rsidR="000669A3" w:rsidRPr="004F0D45">
        <w:rPr>
          <w:color w:val="000000" w:themeColor="text1"/>
        </w:rPr>
        <w:fldChar w:fldCharType="end"/>
      </w:r>
      <w:r w:rsidR="00671F92" w:rsidRPr="004F0D45">
        <w:rPr>
          <w:color w:val="000000" w:themeColor="text1"/>
        </w:rPr>
        <w:t xml:space="preserve"> (a)</w:t>
      </w:r>
      <w:r w:rsidRPr="004F0D45">
        <w:rPr>
          <w:color w:val="000000" w:themeColor="text1"/>
        </w:rPr>
        <w:t xml:space="preserve">. </w:t>
      </w:r>
      <w:r w:rsidR="009D1CD0" w:rsidRPr="004F0D45">
        <w:rPr>
          <w:color w:val="000000" w:themeColor="text1"/>
        </w:rPr>
        <w:t xml:space="preserve">To solve this problem, we propose muting of the first symbol in the first SBFD slot following </w:t>
      </w:r>
      <w:r w:rsidR="00606D5F" w:rsidRPr="004F0D45">
        <w:rPr>
          <w:color w:val="000000" w:themeColor="text1"/>
        </w:rPr>
        <w:t>a</w:t>
      </w:r>
      <w:r w:rsidR="00B4624E" w:rsidRPr="004F0D45">
        <w:rPr>
          <w:color w:val="000000" w:themeColor="text1"/>
        </w:rPr>
        <w:t xml:space="preserve"> non-SBFD</w:t>
      </w:r>
      <w:r w:rsidR="009D1CD0" w:rsidRPr="004F0D45">
        <w:rPr>
          <w:color w:val="000000" w:themeColor="text1"/>
        </w:rPr>
        <w:t xml:space="preserve"> slot as shown in</w:t>
      </w:r>
      <w:r w:rsidR="00671F92" w:rsidRPr="004F0D45">
        <w:rPr>
          <w:color w:val="000000" w:themeColor="text1"/>
        </w:rPr>
        <w:t xml:space="preserve"> </w:t>
      </w:r>
      <w:r w:rsidR="00671F92" w:rsidRPr="004F0D45">
        <w:rPr>
          <w:color w:val="000000" w:themeColor="text1"/>
        </w:rPr>
        <w:fldChar w:fldCharType="begin"/>
      </w:r>
      <w:r w:rsidR="00671F92" w:rsidRPr="004F0D45">
        <w:rPr>
          <w:color w:val="000000" w:themeColor="text1"/>
        </w:rPr>
        <w:instrText xml:space="preserve"> REF _Ref134715082 \h </w:instrText>
      </w:r>
      <w:r w:rsidR="004F0D45">
        <w:rPr>
          <w:color w:val="000000" w:themeColor="text1"/>
        </w:rPr>
        <w:instrText xml:space="preserve"> \* MERGEFORMAT </w:instrText>
      </w:r>
      <w:r w:rsidR="00671F92" w:rsidRPr="004F0D45">
        <w:rPr>
          <w:color w:val="000000" w:themeColor="text1"/>
        </w:rPr>
      </w:r>
      <w:r w:rsidR="00671F92" w:rsidRPr="004F0D45">
        <w:rPr>
          <w:color w:val="000000" w:themeColor="text1"/>
        </w:rPr>
        <w:fldChar w:fldCharType="separate"/>
      </w:r>
      <w:r w:rsidR="00F230AB" w:rsidRPr="004F0D45">
        <w:t xml:space="preserve">Figure </w:t>
      </w:r>
      <w:r w:rsidR="00F230AB" w:rsidRPr="004F0D45">
        <w:rPr>
          <w:noProof/>
        </w:rPr>
        <w:t>13</w:t>
      </w:r>
      <w:r w:rsidR="00671F92" w:rsidRPr="004F0D45">
        <w:rPr>
          <w:color w:val="000000" w:themeColor="text1"/>
        </w:rPr>
        <w:fldChar w:fldCharType="end"/>
      </w:r>
      <w:r w:rsidR="00671F92" w:rsidRPr="004F0D45">
        <w:rPr>
          <w:color w:val="000000" w:themeColor="text1"/>
        </w:rPr>
        <w:t xml:space="preserve"> (b)</w:t>
      </w:r>
      <w:r w:rsidR="009D1CD0" w:rsidRPr="004F0D45">
        <w:rPr>
          <w:color w:val="000000" w:themeColor="text1"/>
        </w:rPr>
        <w:t xml:space="preserve">. The impact of providing such resource muting on the spectral efficiency is marginal because the overlapping region is typically only on the last OFDM symbol in the </w:t>
      </w:r>
      <w:r w:rsidR="00B4624E" w:rsidRPr="004F0D45">
        <w:rPr>
          <w:color w:val="000000" w:themeColor="text1"/>
        </w:rPr>
        <w:t>non-SBFD</w:t>
      </w:r>
      <w:r w:rsidR="009D1CD0" w:rsidRPr="004F0D45">
        <w:rPr>
          <w:color w:val="000000" w:themeColor="text1"/>
        </w:rPr>
        <w:t xml:space="preserve"> slot. </w:t>
      </w:r>
    </w:p>
    <w:p w14:paraId="14B773F8" w14:textId="30953F2B" w:rsidR="009264CF" w:rsidRPr="004F0D45" w:rsidRDefault="009264CF" w:rsidP="009264CF">
      <w:pPr>
        <w:jc w:val="both"/>
        <w:rPr>
          <w:rFonts w:asciiTheme="majorHAnsi" w:eastAsiaTheme="majorEastAsia" w:hAnsiTheme="majorHAnsi" w:cstheme="majorBidi"/>
          <w:b/>
          <w:bCs/>
          <w:color w:val="000000" w:themeColor="text1"/>
        </w:rPr>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F230AB" w:rsidRPr="004F0D45">
        <w:rPr>
          <w:b/>
          <w:bCs/>
          <w:i/>
          <w:iCs/>
          <w:noProof/>
        </w:rPr>
        <w:t>18</w:t>
      </w:r>
      <w:r w:rsidRPr="004F0D45">
        <w:rPr>
          <w:b/>
          <w:bCs/>
          <w:i/>
          <w:iCs/>
        </w:rPr>
        <w:fldChar w:fldCharType="end"/>
      </w:r>
      <w:r w:rsidRPr="004F0D45">
        <w:rPr>
          <w:b/>
          <w:bCs/>
          <w:i/>
          <w:iCs/>
        </w:rPr>
        <w:t>:</w:t>
      </w:r>
      <w:r w:rsidRPr="004F0D45">
        <w:rPr>
          <w:rFonts w:asciiTheme="majorHAnsi" w:eastAsiaTheme="majorEastAsia" w:hAnsiTheme="majorHAnsi" w:cstheme="majorBidi"/>
          <w:b/>
          <w:bCs/>
          <w:color w:val="000000" w:themeColor="text1"/>
        </w:rPr>
        <w:t xml:space="preserve"> </w:t>
      </w:r>
      <w:bookmarkStart w:id="93" w:name="_Ref134716809"/>
      <w:r w:rsidRPr="004F0D45">
        <w:rPr>
          <w:rFonts w:eastAsiaTheme="majorEastAsia"/>
          <w:b/>
          <w:bCs/>
          <w:i/>
          <w:iCs/>
          <w:color w:val="000000" w:themeColor="text1"/>
        </w:rPr>
        <w:t>Legacy TA can cause severe interference to the signal reception in non-SBFD slot/symbols due to UL signal overlap from SBFD slot.</w:t>
      </w:r>
      <w:bookmarkEnd w:id="93"/>
    </w:p>
    <w:p w14:paraId="43D10F73" w14:textId="4A654545" w:rsidR="00A03EC2" w:rsidRPr="004F0D45" w:rsidRDefault="009264CF" w:rsidP="009264CF">
      <w:pPr>
        <w:rPr>
          <w:b/>
          <w:bCs/>
          <w:color w:val="000000" w:themeColor="text1"/>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31</w:t>
      </w:r>
      <w:r w:rsidRPr="004F0D45">
        <w:rPr>
          <w:b/>
          <w:bCs/>
          <w:i/>
          <w:iCs/>
        </w:rPr>
        <w:fldChar w:fldCharType="end"/>
      </w:r>
      <w:r w:rsidRPr="004F0D45">
        <w:rPr>
          <w:b/>
          <w:bCs/>
          <w:i/>
          <w:iCs/>
        </w:rPr>
        <w:t>:</w:t>
      </w:r>
      <w:r w:rsidRPr="004F0D45">
        <w:rPr>
          <w:b/>
          <w:bCs/>
          <w:i/>
          <w:iCs/>
          <w:lang w:eastAsia="en-GB"/>
        </w:rPr>
        <w:t xml:space="preserve"> </w:t>
      </w:r>
      <w:bookmarkStart w:id="94" w:name="_Ref134715331"/>
      <w:r w:rsidR="00606D5F" w:rsidRPr="004F0D45">
        <w:rPr>
          <w:b/>
          <w:bCs/>
          <w:i/>
          <w:iCs/>
          <w:lang w:eastAsia="en-GB"/>
        </w:rPr>
        <w:t xml:space="preserve">Allow </w:t>
      </w:r>
      <w:r w:rsidR="00606D5F" w:rsidRPr="004F0D45">
        <w:rPr>
          <w:b/>
          <w:bCs/>
          <w:i/>
          <w:iCs/>
          <w:color w:val="000000" w:themeColor="text1"/>
        </w:rPr>
        <w:t>m</w:t>
      </w:r>
      <w:r w:rsidRPr="004F0D45">
        <w:rPr>
          <w:b/>
          <w:bCs/>
          <w:i/>
          <w:iCs/>
          <w:color w:val="000000" w:themeColor="text1"/>
        </w:rPr>
        <w:t>ut</w:t>
      </w:r>
      <w:r w:rsidR="00606D5F" w:rsidRPr="004F0D45">
        <w:rPr>
          <w:b/>
          <w:bCs/>
          <w:i/>
          <w:iCs/>
          <w:color w:val="000000" w:themeColor="text1"/>
        </w:rPr>
        <w:t>ing</w:t>
      </w:r>
      <w:r w:rsidRPr="004F0D45">
        <w:rPr>
          <w:b/>
          <w:bCs/>
          <w:i/>
          <w:iCs/>
          <w:color w:val="000000" w:themeColor="text1"/>
        </w:rPr>
        <w:t xml:space="preserve"> the first UL symbol in the first SBFD slot after a </w:t>
      </w:r>
      <w:r w:rsidR="00606D5F" w:rsidRPr="004F0D45">
        <w:rPr>
          <w:b/>
          <w:bCs/>
          <w:i/>
          <w:iCs/>
          <w:color w:val="000000" w:themeColor="text1"/>
        </w:rPr>
        <w:t>non-SBFD (DL-only)</w:t>
      </w:r>
      <w:r w:rsidRPr="004F0D45">
        <w:rPr>
          <w:b/>
          <w:bCs/>
          <w:i/>
          <w:iCs/>
          <w:color w:val="000000" w:themeColor="text1"/>
        </w:rPr>
        <w:t xml:space="preserve"> slot.</w:t>
      </w:r>
      <w:bookmarkEnd w:id="94"/>
    </w:p>
    <w:p w14:paraId="32A4A9C3" w14:textId="5B0BF0D0" w:rsidR="00A03EC2" w:rsidRPr="004F0D45" w:rsidRDefault="00F6205F" w:rsidP="006A0C46">
      <w:pPr>
        <w:spacing w:after="0"/>
        <w:jc w:val="center"/>
        <w:rPr>
          <w:color w:val="000000" w:themeColor="text1"/>
        </w:rPr>
      </w:pPr>
      <w:r w:rsidRPr="004F0D45">
        <w:rPr>
          <w:noProof/>
          <w:color w:val="000000" w:themeColor="text1"/>
        </w:rPr>
        <w:lastRenderedPageBreak/>
        <w:drawing>
          <wp:inline distT="0" distB="0" distL="0" distR="0" wp14:anchorId="51851228" wp14:editId="7DCE22BE">
            <wp:extent cx="2069820" cy="1720126"/>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85884" cy="1733476"/>
                    </a:xfrm>
                    <a:prstGeom prst="rect">
                      <a:avLst/>
                    </a:prstGeom>
                    <a:noFill/>
                  </pic:spPr>
                </pic:pic>
              </a:graphicData>
            </a:graphic>
          </wp:inline>
        </w:drawing>
      </w:r>
      <w:r w:rsidR="00EA2924" w:rsidRPr="004F0D45">
        <w:rPr>
          <w:color w:val="000000" w:themeColor="text1"/>
        </w:rPr>
        <w:t xml:space="preserve">       </w:t>
      </w:r>
      <w:r w:rsidR="00EA2924" w:rsidRPr="004F0D45">
        <w:rPr>
          <w:noProof/>
          <w:color w:val="000000" w:themeColor="text1"/>
        </w:rPr>
        <w:drawing>
          <wp:inline distT="0" distB="0" distL="0" distR="0" wp14:anchorId="107EC0D4" wp14:editId="71A1C83F">
            <wp:extent cx="2150669" cy="1759817"/>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153019" cy="1761740"/>
                    </a:xfrm>
                    <a:prstGeom prst="rect">
                      <a:avLst/>
                    </a:prstGeom>
                    <a:noFill/>
                  </pic:spPr>
                </pic:pic>
              </a:graphicData>
            </a:graphic>
          </wp:inline>
        </w:drawing>
      </w:r>
    </w:p>
    <w:p w14:paraId="7422511F" w14:textId="54C0D7F0" w:rsidR="00EA2924" w:rsidRPr="004F0D45" w:rsidRDefault="00EA2924" w:rsidP="00EA2924">
      <w:pPr>
        <w:pStyle w:val="ListParagraph"/>
        <w:numPr>
          <w:ilvl w:val="0"/>
          <w:numId w:val="25"/>
        </w:numPr>
        <w:rPr>
          <w:color w:val="000000" w:themeColor="text1"/>
        </w:rPr>
      </w:pPr>
      <w:r w:rsidRPr="004F0D45">
        <w:rPr>
          <w:color w:val="000000" w:themeColor="text1"/>
        </w:rPr>
        <w:t xml:space="preserve">                              (b)</w:t>
      </w:r>
    </w:p>
    <w:p w14:paraId="19330FFC" w14:textId="038323A4" w:rsidR="00F6205F" w:rsidRPr="004F0D45" w:rsidRDefault="006A0C46" w:rsidP="00EA2924">
      <w:pPr>
        <w:spacing w:after="0"/>
        <w:ind w:left="360"/>
        <w:jc w:val="center"/>
        <w:rPr>
          <w:rFonts w:eastAsiaTheme="majorEastAsia"/>
          <w:color w:val="000000" w:themeColor="text1"/>
        </w:rPr>
      </w:pPr>
      <w:bookmarkStart w:id="95" w:name="_Ref134715082"/>
      <w:r w:rsidRPr="004F0D45">
        <w:t xml:space="preserve">Figure </w:t>
      </w:r>
      <w:r w:rsidRPr="004F0D45">
        <w:fldChar w:fldCharType="begin"/>
      </w:r>
      <w:r w:rsidRPr="004F0D45">
        <w:instrText xml:space="preserve"> SEQ Figure \* ARABIC </w:instrText>
      </w:r>
      <w:r w:rsidRPr="004F0D45">
        <w:fldChar w:fldCharType="separate"/>
      </w:r>
      <w:r w:rsidR="00F230AB" w:rsidRPr="004F0D45">
        <w:rPr>
          <w:noProof/>
        </w:rPr>
        <w:t>13</w:t>
      </w:r>
      <w:r w:rsidRPr="004F0D45">
        <w:rPr>
          <w:noProof/>
        </w:rPr>
        <w:fldChar w:fldCharType="end"/>
      </w:r>
      <w:bookmarkEnd w:id="95"/>
      <w:r w:rsidRPr="004F0D45">
        <w:t xml:space="preserve">: </w:t>
      </w:r>
      <w:r w:rsidR="00EA2924" w:rsidRPr="004F0D45">
        <w:t xml:space="preserve">(a) </w:t>
      </w:r>
      <w:r w:rsidRPr="004F0D45">
        <w:rPr>
          <w:rFonts w:eastAsiaTheme="majorEastAsia"/>
          <w:color w:val="000000" w:themeColor="text1"/>
        </w:rPr>
        <w:t>UL transmission in SBFD slot overlaps</w:t>
      </w:r>
      <w:r w:rsidR="005B3012" w:rsidRPr="004F0D45">
        <w:rPr>
          <w:rFonts w:eastAsiaTheme="majorEastAsia"/>
          <w:color w:val="000000" w:themeColor="text1"/>
        </w:rPr>
        <w:t xml:space="preserve"> DL</w:t>
      </w:r>
      <w:r w:rsidRPr="004F0D45">
        <w:rPr>
          <w:rFonts w:eastAsiaTheme="majorEastAsia"/>
          <w:color w:val="000000" w:themeColor="text1"/>
        </w:rPr>
        <w:t xml:space="preserve"> reception in </w:t>
      </w:r>
      <w:r w:rsidR="005B3012" w:rsidRPr="004F0D45">
        <w:rPr>
          <w:rFonts w:eastAsiaTheme="majorEastAsia"/>
          <w:color w:val="000000" w:themeColor="text1"/>
        </w:rPr>
        <w:t>non-SBFD</w:t>
      </w:r>
      <w:r w:rsidRPr="004F0D45">
        <w:rPr>
          <w:rFonts w:eastAsiaTheme="majorEastAsia"/>
          <w:color w:val="000000" w:themeColor="text1"/>
        </w:rPr>
        <w:t xml:space="preserve"> slot</w:t>
      </w:r>
      <w:r w:rsidR="00EA2924" w:rsidRPr="004F0D45">
        <w:rPr>
          <w:rFonts w:eastAsiaTheme="majorEastAsia"/>
          <w:color w:val="000000" w:themeColor="text1"/>
        </w:rPr>
        <w:t xml:space="preserve"> (b) UL symbol muting in SBFD slot to avoid inter-UE CLI.</w:t>
      </w:r>
    </w:p>
    <w:p w14:paraId="121C63F3" w14:textId="48695F15" w:rsidR="002F4893" w:rsidRPr="004F0D45" w:rsidRDefault="002F4893" w:rsidP="005D664D">
      <w:pPr>
        <w:pStyle w:val="Heading2"/>
        <w:jc w:val="both"/>
      </w:pPr>
      <w:r w:rsidRPr="004F0D45">
        <w:t>UE-UE CLI measurement</w:t>
      </w:r>
    </w:p>
    <w:p w14:paraId="5BAC18CA" w14:textId="6D215DBD" w:rsidR="00B13002" w:rsidRPr="004F0D45" w:rsidRDefault="00B13002" w:rsidP="00FB3C95">
      <w:pPr>
        <w:spacing w:after="0"/>
        <w:jc w:val="both"/>
        <w:rPr>
          <w:lang w:val="en-US" w:eastAsia="zh-CN"/>
        </w:rPr>
      </w:pPr>
      <w:r w:rsidRPr="004F0D45">
        <w:rPr>
          <w:lang w:val="en-US" w:eastAsia="zh-CN"/>
        </w:rPr>
        <w:t xml:space="preserve">In previous meetings, RAN1 reached the following agreements to study three methods for inter-UE inter-subband CLI measurements. In this section, we provide views on the inter-UE inter-subband CLI measurements. </w:t>
      </w:r>
    </w:p>
    <w:p w14:paraId="2214737F" w14:textId="77777777" w:rsidR="00655C17" w:rsidRPr="004F0D45" w:rsidRDefault="00655C17" w:rsidP="00FB3C95">
      <w:pPr>
        <w:spacing w:after="0"/>
        <w:contextualSpacing/>
        <w:jc w:val="both"/>
      </w:pPr>
    </w:p>
    <w:tbl>
      <w:tblPr>
        <w:tblStyle w:val="TableGrid"/>
        <w:tblW w:w="0" w:type="auto"/>
        <w:tblLook w:val="04A0" w:firstRow="1" w:lastRow="0" w:firstColumn="1" w:lastColumn="0" w:noHBand="0" w:noVBand="1"/>
      </w:tblPr>
      <w:tblGrid>
        <w:gridCol w:w="9629"/>
      </w:tblGrid>
      <w:tr w:rsidR="00655C17" w:rsidRPr="004F0D45" w14:paraId="21EB9963" w14:textId="77777777" w:rsidTr="00454425">
        <w:tc>
          <w:tcPr>
            <w:tcW w:w="9629" w:type="dxa"/>
          </w:tcPr>
          <w:p w14:paraId="27700290" w14:textId="77777777" w:rsidR="00655C17" w:rsidRPr="004F0D45" w:rsidRDefault="00655C17" w:rsidP="009264CF">
            <w:pPr>
              <w:spacing w:after="0"/>
              <w:contextualSpacing/>
              <w:jc w:val="both"/>
              <w:rPr>
                <w:rFonts w:ascii="Times" w:eastAsia="Times New Roman" w:hAnsi="Times" w:cs="Times"/>
                <w:b/>
                <w:bCs/>
                <w:lang w:eastAsia="en-GB"/>
              </w:rPr>
            </w:pPr>
            <w:r w:rsidRPr="004F0D45">
              <w:rPr>
                <w:rFonts w:ascii="Times" w:eastAsia="Times New Roman" w:hAnsi="Times" w:cs="Times"/>
                <w:b/>
                <w:bCs/>
                <w:lang w:eastAsia="en-GB"/>
              </w:rPr>
              <w:t>Agreement RAN1#112</w:t>
            </w:r>
          </w:p>
          <w:p w14:paraId="0F1F26BB" w14:textId="77777777" w:rsidR="00655C17" w:rsidRPr="004F0D45" w:rsidRDefault="00655C17" w:rsidP="009264CF">
            <w:pPr>
              <w:spacing w:after="0"/>
              <w:contextualSpacing/>
              <w:jc w:val="both"/>
              <w:rPr>
                <w:rFonts w:cs="Times"/>
                <w:lang w:eastAsia="zh-CN"/>
              </w:rPr>
            </w:pPr>
            <w:r w:rsidRPr="004F0D45">
              <w:rPr>
                <w:rFonts w:cs="Times"/>
              </w:rPr>
              <w:t xml:space="preserve">For </w:t>
            </w:r>
            <w:r w:rsidRPr="004F0D45">
              <w:rPr>
                <w:rFonts w:cs="Times"/>
                <w:lang w:eastAsia="zh-CN"/>
              </w:rPr>
              <w:t>inter-UE inter-subband CLI measurement, study at least the following methods:</w:t>
            </w:r>
          </w:p>
          <w:p w14:paraId="391D944C" w14:textId="77777777" w:rsidR="00655C17" w:rsidRPr="004F0D45" w:rsidRDefault="00655C17" w:rsidP="009264CF">
            <w:pPr>
              <w:numPr>
                <w:ilvl w:val="1"/>
                <w:numId w:val="15"/>
              </w:numPr>
              <w:overflowPunct/>
              <w:autoSpaceDE/>
              <w:autoSpaceDN/>
              <w:adjustRightInd/>
              <w:spacing w:after="0"/>
              <w:contextualSpacing/>
              <w:jc w:val="both"/>
              <w:rPr>
                <w:rFonts w:eastAsia="Malgun Gothic" w:cs="Times"/>
                <w:lang w:eastAsia="zh-CN"/>
              </w:rPr>
            </w:pPr>
            <w:r w:rsidRPr="004F0D45">
              <w:rPr>
                <w:rFonts w:eastAsia="Malgun Gothic" w:cs="Times"/>
                <w:lang w:eastAsia="zh-CN"/>
              </w:rPr>
              <w:t>Method#1: victim UE measures RSSI within DL subband</w:t>
            </w:r>
          </w:p>
          <w:p w14:paraId="3ECF0293" w14:textId="77777777" w:rsidR="00655C17" w:rsidRPr="004F0D45" w:rsidRDefault="00655C17" w:rsidP="009264CF">
            <w:pPr>
              <w:numPr>
                <w:ilvl w:val="2"/>
                <w:numId w:val="15"/>
              </w:numPr>
              <w:overflowPunct/>
              <w:autoSpaceDE/>
              <w:autoSpaceDN/>
              <w:adjustRightInd/>
              <w:spacing w:after="0"/>
              <w:contextualSpacing/>
              <w:jc w:val="both"/>
              <w:rPr>
                <w:rFonts w:eastAsia="Malgun Gothic" w:cs="Times"/>
                <w:lang w:eastAsia="zh-CN"/>
              </w:rPr>
            </w:pPr>
            <w:r w:rsidRPr="004F0D45">
              <w:rPr>
                <w:rFonts w:eastAsia="Malgun Gothic" w:cs="Times"/>
                <w:lang w:eastAsia="zh-CN"/>
              </w:rPr>
              <w:t>FFS: Whether SINR can be measured</w:t>
            </w:r>
          </w:p>
          <w:p w14:paraId="26A28883" w14:textId="77777777" w:rsidR="00655C17" w:rsidRPr="004F0D45" w:rsidRDefault="00655C17" w:rsidP="009264CF">
            <w:pPr>
              <w:numPr>
                <w:ilvl w:val="1"/>
                <w:numId w:val="15"/>
              </w:numPr>
              <w:overflowPunct/>
              <w:autoSpaceDE/>
              <w:autoSpaceDN/>
              <w:adjustRightInd/>
              <w:spacing w:after="0"/>
              <w:contextualSpacing/>
              <w:jc w:val="both"/>
              <w:rPr>
                <w:rFonts w:eastAsia="Malgun Gothic" w:cs="Times"/>
                <w:lang w:eastAsia="zh-CN"/>
              </w:rPr>
            </w:pPr>
            <w:r w:rsidRPr="004F0D45">
              <w:rPr>
                <w:rFonts w:eastAsia="Malgun Gothic" w:cs="Times"/>
                <w:lang w:eastAsia="zh-CN"/>
              </w:rPr>
              <w:t xml:space="preserve">Method#2: victim UE measures RSRP of aggressor UE within UL subband </w:t>
            </w:r>
          </w:p>
          <w:p w14:paraId="445BCB87" w14:textId="77777777" w:rsidR="00655C17" w:rsidRPr="004F0D45" w:rsidRDefault="00655C17" w:rsidP="009264CF">
            <w:pPr>
              <w:numPr>
                <w:ilvl w:val="1"/>
                <w:numId w:val="15"/>
              </w:numPr>
              <w:overflowPunct/>
              <w:autoSpaceDE/>
              <w:autoSpaceDN/>
              <w:adjustRightInd/>
              <w:spacing w:after="0"/>
              <w:contextualSpacing/>
              <w:jc w:val="both"/>
              <w:rPr>
                <w:rFonts w:eastAsia="Malgun Gothic" w:cs="Times"/>
                <w:lang w:eastAsia="zh-CN"/>
              </w:rPr>
            </w:pPr>
            <w:r w:rsidRPr="004F0D45">
              <w:rPr>
                <w:rFonts w:eastAsia="Malgun Gothic" w:cs="Times"/>
                <w:lang w:eastAsia="zh-CN"/>
              </w:rPr>
              <w:t xml:space="preserve">Method#3: victim UE measures RSSI within UL subband </w:t>
            </w:r>
          </w:p>
          <w:p w14:paraId="109BCDE4" w14:textId="77777777" w:rsidR="00655C17" w:rsidRPr="004F0D45" w:rsidRDefault="00655C17" w:rsidP="009264CF">
            <w:pPr>
              <w:spacing w:after="0"/>
              <w:contextualSpacing/>
              <w:jc w:val="both"/>
              <w:rPr>
                <w:rFonts w:ascii="Times" w:eastAsia="Times New Roman" w:hAnsi="Times" w:cs="Times"/>
                <w:b/>
                <w:bCs/>
                <w:lang w:eastAsia="en-GB"/>
              </w:rPr>
            </w:pPr>
          </w:p>
          <w:p w14:paraId="4436611F" w14:textId="77777777" w:rsidR="00655C17" w:rsidRPr="004F0D45" w:rsidRDefault="00655C17" w:rsidP="009264CF">
            <w:pPr>
              <w:spacing w:after="0"/>
              <w:contextualSpacing/>
              <w:jc w:val="both"/>
              <w:rPr>
                <w:rFonts w:ascii="Times" w:eastAsia="Times New Roman" w:hAnsi="Times" w:cs="Times"/>
                <w:b/>
                <w:bCs/>
                <w:lang w:eastAsia="en-GB"/>
              </w:rPr>
            </w:pPr>
            <w:r w:rsidRPr="004F0D45">
              <w:rPr>
                <w:rFonts w:ascii="Times" w:eastAsia="Times New Roman" w:hAnsi="Times" w:cs="Times"/>
                <w:b/>
                <w:bCs/>
                <w:lang w:eastAsia="en-GB"/>
              </w:rPr>
              <w:t>Agreement RAN1#112bis-e</w:t>
            </w:r>
          </w:p>
          <w:p w14:paraId="7538AC10" w14:textId="77777777" w:rsidR="00655C17" w:rsidRPr="004F0D45" w:rsidRDefault="00655C17" w:rsidP="009264CF">
            <w:pPr>
              <w:spacing w:after="0"/>
              <w:rPr>
                <w:rFonts w:eastAsia="Malgun Gothic"/>
                <w:lang w:eastAsia="zh-CN"/>
              </w:rPr>
            </w:pPr>
            <w:r w:rsidRPr="004F0D45">
              <w:t>For inter-UE inter-subband CLI measurement,</w:t>
            </w:r>
            <w:r w:rsidRPr="004F0D45">
              <w:rPr>
                <w:rFonts w:eastAsia="Malgun Gothic"/>
                <w:lang w:eastAsia="zh-CN"/>
              </w:rPr>
              <w:t xml:space="preserve"> study Method#2 and Method#3 considering:</w:t>
            </w:r>
          </w:p>
          <w:p w14:paraId="1A2DDECC" w14:textId="77777777" w:rsidR="00655C17" w:rsidRPr="004F0D45" w:rsidRDefault="00655C17" w:rsidP="009264CF">
            <w:pPr>
              <w:numPr>
                <w:ilvl w:val="0"/>
                <w:numId w:val="20"/>
              </w:numPr>
              <w:overflowPunct/>
              <w:autoSpaceDE/>
              <w:autoSpaceDN/>
              <w:adjustRightInd/>
              <w:spacing w:after="0"/>
              <w:rPr>
                <w:rFonts w:eastAsia="Malgun Gothic"/>
                <w:lang w:eastAsia="zh-CN"/>
              </w:rPr>
            </w:pPr>
            <w:r w:rsidRPr="004F0D45">
              <w:rPr>
                <w:rFonts w:eastAsia="Malgun Gothic"/>
                <w:lang w:eastAsia="zh-CN"/>
              </w:rPr>
              <w:t>Necessity/benefit compared with measurement within DL subband</w:t>
            </w:r>
          </w:p>
          <w:p w14:paraId="6CC8EAAF" w14:textId="77777777" w:rsidR="00655C17" w:rsidRPr="004F0D45" w:rsidRDefault="00655C17" w:rsidP="009264CF">
            <w:pPr>
              <w:numPr>
                <w:ilvl w:val="0"/>
                <w:numId w:val="20"/>
              </w:numPr>
              <w:overflowPunct/>
              <w:autoSpaceDE/>
              <w:autoSpaceDN/>
              <w:adjustRightInd/>
              <w:spacing w:after="0"/>
              <w:rPr>
                <w:rFonts w:eastAsia="Malgun Gothic"/>
                <w:lang w:eastAsia="zh-CN"/>
              </w:rPr>
            </w:pPr>
            <w:r w:rsidRPr="004F0D45">
              <w:rPr>
                <w:rFonts w:eastAsia="Malgun Gothic"/>
                <w:lang w:eastAsia="zh-CN"/>
              </w:rPr>
              <w:t>Whether/how to estimate CLI from RSRP/RSSI measurements within UL subband / guardband</w:t>
            </w:r>
          </w:p>
          <w:p w14:paraId="72E02CB7" w14:textId="77777777" w:rsidR="00655C17" w:rsidRPr="004F0D45" w:rsidRDefault="00655C17" w:rsidP="009264CF">
            <w:pPr>
              <w:numPr>
                <w:ilvl w:val="0"/>
                <w:numId w:val="20"/>
              </w:numPr>
              <w:overflowPunct/>
              <w:autoSpaceDE/>
              <w:autoSpaceDN/>
              <w:adjustRightInd/>
              <w:spacing w:after="0"/>
              <w:rPr>
                <w:rFonts w:eastAsia="Malgun Gothic"/>
                <w:lang w:eastAsia="zh-CN"/>
              </w:rPr>
            </w:pPr>
            <w:r w:rsidRPr="004F0D45">
              <w:rPr>
                <w:rFonts w:eastAsia="Malgun Gothic"/>
                <w:lang w:eastAsia="zh-CN"/>
              </w:rPr>
              <w:t>Whether UE is required to measure RSRP/RSSI within UL</w:t>
            </w:r>
            <w:r w:rsidRPr="004F0D45">
              <w:rPr>
                <w:rFonts w:eastAsia="Malgun Gothic" w:hint="eastAsia"/>
                <w:lang w:eastAsia="zh-CN"/>
              </w:rPr>
              <w:t xml:space="preserve"> subband</w:t>
            </w:r>
            <w:r w:rsidRPr="004F0D45">
              <w:rPr>
                <w:rFonts w:eastAsia="Malgun Gothic"/>
                <w:lang w:eastAsia="zh-CN"/>
              </w:rPr>
              <w:t xml:space="preserve"> and receive DL in DL subband(s) simultaneously</w:t>
            </w:r>
          </w:p>
          <w:p w14:paraId="1D204D1D" w14:textId="77777777" w:rsidR="00655C17" w:rsidRPr="004F0D45" w:rsidRDefault="00655C17" w:rsidP="009264CF">
            <w:pPr>
              <w:numPr>
                <w:ilvl w:val="0"/>
                <w:numId w:val="20"/>
              </w:numPr>
              <w:overflowPunct/>
              <w:autoSpaceDE/>
              <w:autoSpaceDN/>
              <w:adjustRightInd/>
              <w:spacing w:after="0"/>
              <w:rPr>
                <w:rFonts w:eastAsia="Malgun Gothic"/>
                <w:lang w:eastAsia="zh-CN"/>
              </w:rPr>
            </w:pPr>
            <w:r w:rsidRPr="004F0D45">
              <w:rPr>
                <w:rFonts w:eastAsia="Malgun Gothic"/>
                <w:lang w:eastAsia="zh-CN"/>
              </w:rPr>
              <w:t>Whether existing CLI measurement and report framework can be reused to support RSRP/RSSI measurements within UL subband</w:t>
            </w:r>
          </w:p>
          <w:p w14:paraId="7B3B02E9" w14:textId="77777777" w:rsidR="00655C17" w:rsidRPr="004F0D45" w:rsidRDefault="00655C17" w:rsidP="009264CF">
            <w:pPr>
              <w:pStyle w:val="ListParagraph"/>
              <w:numPr>
                <w:ilvl w:val="0"/>
                <w:numId w:val="22"/>
              </w:numPr>
              <w:rPr>
                <w:rFonts w:eastAsia="Malgun Gothic"/>
              </w:rPr>
            </w:pPr>
            <w:r w:rsidRPr="004F0D45">
              <w:rPr>
                <w:rFonts w:eastAsia="Malgun Gothic"/>
                <w:sz w:val="20"/>
                <w:szCs w:val="20"/>
              </w:rPr>
              <w:t>If not, identify the potential impact</w:t>
            </w:r>
          </w:p>
        </w:tc>
      </w:tr>
    </w:tbl>
    <w:p w14:paraId="6D6190AB" w14:textId="77777777" w:rsidR="00887B44" w:rsidRPr="004F0D45" w:rsidRDefault="00887B44" w:rsidP="00887B44">
      <w:pPr>
        <w:spacing w:after="0"/>
        <w:contextualSpacing/>
        <w:jc w:val="both"/>
      </w:pPr>
    </w:p>
    <w:p w14:paraId="1B08BB53" w14:textId="44F39BD1" w:rsidR="002F4893" w:rsidRPr="004F0D45" w:rsidRDefault="002F4893" w:rsidP="005D664D">
      <w:pPr>
        <w:pStyle w:val="Heading3"/>
        <w:jc w:val="both"/>
        <w:rPr>
          <w:lang w:eastAsia="da-DK"/>
        </w:rPr>
      </w:pPr>
      <w:r w:rsidRPr="004F0D45">
        <w:rPr>
          <w:lang w:eastAsia="da-DK"/>
        </w:rPr>
        <w:t xml:space="preserve">Inter-subband UE-UE CLI measurements  </w:t>
      </w:r>
    </w:p>
    <w:p w14:paraId="28B914FB" w14:textId="77777777" w:rsidR="002F4893" w:rsidRPr="004F0D45" w:rsidRDefault="002F4893" w:rsidP="005D664D">
      <w:pPr>
        <w:overflowPunct/>
        <w:autoSpaceDE/>
        <w:autoSpaceDN/>
        <w:adjustRightInd/>
        <w:spacing w:after="120"/>
        <w:jc w:val="both"/>
        <w:textAlignment w:val="center"/>
        <w:rPr>
          <w:lang w:eastAsia="da-DK"/>
        </w:rPr>
      </w:pPr>
      <w:r w:rsidRPr="004F0D45">
        <w:rPr>
          <w:lang w:eastAsia="da-DK"/>
        </w:rPr>
        <w:t>In R16 SRS-RSRP measurements was introduced to assess the inter-cell, co-channel UE-UE CLI from non-synchronized TDD. In SBFD, on the other hand, the adjacent sub-band intra-cell aggressor candidates need to be compared, too. Although the interference power leaking into the victim’s subband cannot be measured directly by this method, but for ranking aggressors this might not be required. By avoiding simultaneous scheduling with the worst UE aggressor candidates, co-channel (i.e., intra-subband) intercell interference (from aggressor BS – in the case of aligned SBFD layouts) will likely dominate. If so, then measuring and comparing the SRS-RSRP of the adjacent subband aggressor candidates may be sufficient for UE-UE CLI-aware scheduling, without accurately estimating the leakage ratio into the victim’s DL subband.</w:t>
      </w:r>
    </w:p>
    <w:p w14:paraId="5F66BC12" w14:textId="6DCA459C" w:rsidR="002F4893" w:rsidRPr="004F0D45" w:rsidRDefault="002F4893" w:rsidP="005D664D">
      <w:pPr>
        <w:overflowPunct/>
        <w:autoSpaceDE/>
        <w:autoSpaceDN/>
        <w:adjustRightInd/>
        <w:spacing w:after="120"/>
        <w:jc w:val="both"/>
        <w:textAlignment w:val="center"/>
        <w:rPr>
          <w:b/>
          <w:bCs/>
          <w:i/>
          <w:iCs/>
          <w:lang w:eastAsia="da-DK"/>
        </w:rPr>
      </w:pPr>
      <w:bookmarkStart w:id="96" w:name="_Ref111210898"/>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32</w:t>
      </w:r>
      <w:r w:rsidRPr="004F0D45">
        <w:rPr>
          <w:b/>
          <w:bCs/>
          <w:i/>
          <w:iCs/>
        </w:rPr>
        <w:fldChar w:fldCharType="end"/>
      </w:r>
      <w:r w:rsidRPr="004F0D45">
        <w:rPr>
          <w:b/>
          <w:bCs/>
          <w:i/>
          <w:iCs/>
          <w:lang w:eastAsia="da-DK"/>
        </w:rPr>
        <w:t xml:space="preserve">: </w:t>
      </w:r>
      <w:bookmarkStart w:id="97" w:name="_Ref118368128"/>
      <w:r w:rsidRPr="004F0D45">
        <w:rPr>
          <w:b/>
          <w:bCs/>
          <w:i/>
          <w:iCs/>
          <w:lang w:eastAsia="da-DK"/>
        </w:rPr>
        <w:t>Study whether SRS-RSRP-based ranking of UE aggressor candidates is sufficient for the optimization of UL-DL inter-subband CLI.</w:t>
      </w:r>
      <w:bookmarkEnd w:id="96"/>
      <w:bookmarkEnd w:id="97"/>
    </w:p>
    <w:p w14:paraId="0349E50C" w14:textId="7CFE424E" w:rsidR="002F4893" w:rsidRPr="004F0D45" w:rsidRDefault="002F4893" w:rsidP="005D664D">
      <w:pPr>
        <w:overflowPunct/>
        <w:autoSpaceDE/>
        <w:autoSpaceDN/>
        <w:adjustRightInd/>
        <w:spacing w:after="120"/>
        <w:jc w:val="both"/>
        <w:textAlignment w:val="center"/>
        <w:rPr>
          <w:lang w:eastAsia="da-DK"/>
        </w:rPr>
      </w:pPr>
      <w:r w:rsidRPr="004F0D45">
        <w:rPr>
          <w:lang w:eastAsia="da-DK"/>
        </w:rPr>
        <w:t xml:space="preserve">Alternatively, to assess the interference power that effectively leaks into the victim UE’s DL reception, the victim UE could measure CLI-RSSI in its </w:t>
      </w:r>
      <w:r w:rsidR="00AD31E4" w:rsidRPr="004F0D45">
        <w:rPr>
          <w:lang w:eastAsia="da-DK"/>
        </w:rPr>
        <w:t>DL</w:t>
      </w:r>
      <w:r w:rsidRPr="004F0D45">
        <w:rPr>
          <w:lang w:eastAsia="da-DK"/>
        </w:rPr>
        <w:t xml:space="preserve"> subband. Based on the reported CLI-RSSI the scheduler may not be able to discriminate between the inter-subband </w:t>
      </w:r>
      <w:r w:rsidR="00AD31E4" w:rsidRPr="004F0D45">
        <w:rPr>
          <w:lang w:eastAsia="da-DK"/>
        </w:rPr>
        <w:t>CLI</w:t>
      </w:r>
      <w:r w:rsidRPr="004F0D45">
        <w:rPr>
          <w:lang w:eastAsia="da-DK"/>
        </w:rPr>
        <w:t xml:space="preserve">(s) and the intra-subband inter-cell interference (DL-DL or UL-DL), unless e.g., the latter is muted. </w:t>
      </w:r>
      <w:r w:rsidRPr="004F0D45">
        <w:rPr>
          <w:i/>
          <w:iCs/>
          <w:lang w:eastAsia="da-DK"/>
        </w:rPr>
        <w:t>RRC IE RateMatchPattern</w:t>
      </w:r>
      <w:r w:rsidRPr="004F0D45">
        <w:rPr>
          <w:lang w:eastAsia="da-DK"/>
        </w:rPr>
        <w:t xml:space="preserve"> may be used for RB-level PDSCH muting purposes.   </w:t>
      </w:r>
    </w:p>
    <w:p w14:paraId="44E49D0E" w14:textId="77777777" w:rsidR="002F4893" w:rsidRPr="004F0D45" w:rsidRDefault="002F4893" w:rsidP="005D664D">
      <w:pPr>
        <w:overflowPunct/>
        <w:autoSpaceDE/>
        <w:autoSpaceDN/>
        <w:adjustRightInd/>
        <w:spacing w:after="120"/>
        <w:jc w:val="both"/>
        <w:textAlignment w:val="center"/>
        <w:rPr>
          <w:lang w:eastAsia="da-DK"/>
        </w:rPr>
      </w:pPr>
      <w:r w:rsidRPr="004F0D45">
        <w:rPr>
          <w:lang w:eastAsia="da-DK"/>
        </w:rPr>
        <w:t xml:space="preserve">Furthermore, the adjacent subband interference ratio can also be estimated if CLI-RSSI can be measured in both the aggressor’s subband and the victim’s subband while inter-cell interference is muted in both subbands during the measurement. Yet, this ratio may or may not be necessary (e.g., to offset reported SRS-RSRP values) for the scheduling based on the circumstances. </w:t>
      </w:r>
    </w:p>
    <w:p w14:paraId="1169F590" w14:textId="21D993A6" w:rsidR="002F4893" w:rsidRPr="004F0D45" w:rsidRDefault="002F4893" w:rsidP="005D664D">
      <w:pPr>
        <w:overflowPunct/>
        <w:autoSpaceDE/>
        <w:autoSpaceDN/>
        <w:adjustRightInd/>
        <w:spacing w:after="120"/>
        <w:jc w:val="both"/>
        <w:textAlignment w:val="center"/>
        <w:rPr>
          <w:b/>
          <w:bCs/>
          <w:i/>
          <w:iCs/>
          <w:lang w:eastAsia="da-DK"/>
        </w:rPr>
      </w:pPr>
      <w:bookmarkStart w:id="98" w:name="_Ref111210902"/>
      <w:r w:rsidRPr="004F0D45">
        <w:rPr>
          <w:b/>
          <w:bCs/>
          <w:i/>
          <w:iCs/>
        </w:rPr>
        <w:lastRenderedPageBreak/>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33</w:t>
      </w:r>
      <w:r w:rsidRPr="004F0D45">
        <w:rPr>
          <w:b/>
          <w:bCs/>
          <w:i/>
          <w:iCs/>
        </w:rPr>
        <w:fldChar w:fldCharType="end"/>
      </w:r>
      <w:r w:rsidRPr="004F0D45">
        <w:rPr>
          <w:b/>
          <w:bCs/>
          <w:i/>
          <w:iCs/>
          <w:lang w:eastAsia="da-DK"/>
        </w:rPr>
        <w:t xml:space="preserve">: </w:t>
      </w:r>
      <w:bookmarkStart w:id="99" w:name="_Ref118368151"/>
      <w:r w:rsidRPr="004F0D45">
        <w:rPr>
          <w:b/>
          <w:bCs/>
          <w:i/>
          <w:iCs/>
          <w:lang w:eastAsia="da-DK"/>
        </w:rPr>
        <w:t>Study the feasibility and cost of muting co-channel interferer for the assessment of inter-subband UE CLI using CLI-RSSI measurements.</w:t>
      </w:r>
      <w:bookmarkEnd w:id="98"/>
      <w:bookmarkEnd w:id="99"/>
    </w:p>
    <w:p w14:paraId="47544E16" w14:textId="56D0C969" w:rsidR="002F4893" w:rsidRPr="004F0D45" w:rsidRDefault="002F4893" w:rsidP="005D664D">
      <w:pPr>
        <w:overflowPunct/>
        <w:autoSpaceDE/>
        <w:autoSpaceDN/>
        <w:adjustRightInd/>
        <w:spacing w:after="120"/>
        <w:jc w:val="both"/>
        <w:textAlignment w:val="center"/>
      </w:pPr>
      <w:r w:rsidRPr="004F0D45">
        <w:t xml:space="preserve">In the current specification, UE-UE CLI measurement is supported by Layer-3 measurement and reporting framework. This allows accurate measurement and tracking of the large-scale fading </w:t>
      </w:r>
      <w:proofErr w:type="spellStart"/>
      <w:r w:rsidRPr="004F0D45">
        <w:t>w.r.t.</w:t>
      </w:r>
      <w:proofErr w:type="spellEnd"/>
      <w:r w:rsidRPr="004F0D45">
        <w:t xml:space="preserve"> the aggressor using L3 filtering (which can also be disabled). Up to 32 different SRS-RSRP and 64 CLI</w:t>
      </w:r>
      <w:r w:rsidR="006E3890" w:rsidRPr="004F0D45">
        <w:t>-</w:t>
      </w:r>
      <w:r w:rsidRPr="004F0D45">
        <w:t xml:space="preserve">RSSI measurement objects can be configured with separate measurement resources. The minimum latencies of RRC configuration and event triggered RRC reporting are in the realm of </w:t>
      </w:r>
      <w:r w:rsidR="006E3890" w:rsidRPr="004F0D45">
        <w:t>10m</w:t>
      </w:r>
      <w:r w:rsidRPr="004F0D45">
        <w:t xml:space="preserve">s (while periodic reporting could be configured with an interval of minimum 120ms), which is adequate for coordinating measurements and interference mitigation with neighbour cells, but for ad-hoc assessment of inter-subband </w:t>
      </w:r>
      <w:r w:rsidR="006E3890" w:rsidRPr="004F0D45">
        <w:t>CLI</w:t>
      </w:r>
      <w:r w:rsidRPr="004F0D45">
        <w:t xml:space="preserve"> within the cell may be too slow. Due to the dynamic nature of SBFD scheduling and the increased number of UE-UE pairs to be assessed, Layer-3 UE-UE CLI measurement enabling and disabling may not be flexible enough. Therefore, the need for Layer-1 UE-UE CLI measurement, and the details of its features should be studied. </w:t>
      </w:r>
    </w:p>
    <w:p w14:paraId="1581E39F" w14:textId="01D5D06D" w:rsidR="00D73D43" w:rsidRPr="004F0D45" w:rsidRDefault="002F4893" w:rsidP="005D664D">
      <w:pPr>
        <w:overflowPunct/>
        <w:autoSpaceDE/>
        <w:autoSpaceDN/>
        <w:adjustRightInd/>
        <w:spacing w:after="120"/>
        <w:jc w:val="both"/>
        <w:textAlignment w:val="center"/>
        <w:rPr>
          <w:b/>
          <w:bCs/>
          <w:i/>
          <w:iCs/>
        </w:rPr>
      </w:pPr>
      <w:bookmarkStart w:id="100" w:name="_Ref111210904"/>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34</w:t>
      </w:r>
      <w:r w:rsidRPr="004F0D45">
        <w:rPr>
          <w:b/>
          <w:bCs/>
          <w:i/>
          <w:iCs/>
        </w:rPr>
        <w:fldChar w:fldCharType="end"/>
      </w:r>
      <w:r w:rsidRPr="004F0D45">
        <w:rPr>
          <w:b/>
          <w:bCs/>
          <w:i/>
          <w:iCs/>
        </w:rPr>
        <w:t xml:space="preserve">: </w:t>
      </w:r>
      <w:bookmarkStart w:id="101" w:name="_Ref118368162"/>
      <w:r w:rsidRPr="004F0D45">
        <w:rPr>
          <w:b/>
          <w:bCs/>
          <w:i/>
          <w:iCs/>
        </w:rPr>
        <w:t>Support Layer-1 UE-UE CLI measurement and study the details of its features.</w:t>
      </w:r>
      <w:bookmarkEnd w:id="100"/>
      <w:bookmarkEnd w:id="101"/>
    </w:p>
    <w:p w14:paraId="0932ECA7" w14:textId="77777777" w:rsidR="002F4893" w:rsidRPr="004F0D45" w:rsidRDefault="002F4893" w:rsidP="005D664D">
      <w:pPr>
        <w:pStyle w:val="Heading3"/>
        <w:jc w:val="both"/>
      </w:pPr>
      <w:r w:rsidRPr="004F0D45">
        <w:t>Optimized UE-to-UE CLI measurements</w:t>
      </w:r>
    </w:p>
    <w:p w14:paraId="2E9E5CD7" w14:textId="77777777" w:rsidR="002F4893" w:rsidRPr="004F0D45" w:rsidRDefault="002F4893" w:rsidP="005D664D">
      <w:pPr>
        <w:jc w:val="both"/>
      </w:pPr>
      <w:r w:rsidRPr="004F0D45">
        <w:t xml:space="preserve">In R16 SRS-RSRP, a victim UE is configured to perform measurement on SRS resources transmitted by an aggressor UE. For both the transmitting and measurement UEs, dedicated resources are configured to enable SRS-RSRP measurement, which incurs a high resource overhead. For R16 CLI-RSSI measurement, on the other hand, the UE is configured to measure the average received power on specified time-frequency resources. In both cases, the UE cannot report the presence of UE-UE CLI unless there are resources available for CLI measurements. Moreover, due to the dynamic scheduling of UEs, fast CLI measurements and reporting are required to effectively handle the impact of UE-UE CLI. Following the current specifications will require that more resources are configured for more frequent UE-UE CLI measurement and reporting, which will further increase the measurement resource overhead.   </w:t>
      </w:r>
    </w:p>
    <w:p w14:paraId="0C5C6F43" w14:textId="77777777" w:rsidR="002F4893" w:rsidRPr="004F0D45" w:rsidRDefault="002F4893" w:rsidP="005D664D">
      <w:pPr>
        <w:jc w:val="both"/>
      </w:pPr>
      <w:r w:rsidRPr="004F0D45">
        <w:t>In the case of CLI-RSSI, the UE measures interference from multiple sources and therefore cannot differentiate between different sources of interference and their respective interference levels. For effective CLI handling by gNB, it will be beneficial to reduce CLI measurement resource overhead while being able to differentiate between different aggressors. To address these issues, we propose the following optimized CLI measurements schemes.</w:t>
      </w:r>
    </w:p>
    <w:p w14:paraId="512517EF" w14:textId="7A258E98" w:rsidR="002F4893" w:rsidRPr="004F0D45" w:rsidRDefault="002F4893" w:rsidP="005D664D">
      <w:pPr>
        <w:overflowPunct/>
        <w:autoSpaceDE/>
        <w:autoSpaceDN/>
        <w:adjustRightInd/>
        <w:spacing w:after="120"/>
        <w:jc w:val="both"/>
        <w:textAlignment w:val="center"/>
        <w:rPr>
          <w:b/>
          <w:bCs/>
          <w:i/>
          <w:iCs/>
        </w:rPr>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F230AB" w:rsidRPr="004F0D45">
        <w:rPr>
          <w:b/>
          <w:bCs/>
          <w:i/>
          <w:iCs/>
          <w:noProof/>
        </w:rPr>
        <w:t>19</w:t>
      </w:r>
      <w:r w:rsidRPr="004F0D45">
        <w:rPr>
          <w:b/>
          <w:bCs/>
          <w:i/>
          <w:iCs/>
          <w:noProof/>
        </w:rPr>
        <w:fldChar w:fldCharType="end"/>
      </w:r>
      <w:r w:rsidRPr="004F0D45">
        <w:rPr>
          <w:b/>
          <w:bCs/>
          <w:i/>
          <w:iCs/>
        </w:rPr>
        <w:t xml:space="preserve">: </w:t>
      </w:r>
      <w:bookmarkStart w:id="102" w:name="_Ref127287210"/>
      <w:r w:rsidRPr="004F0D45">
        <w:rPr>
          <w:b/>
          <w:bCs/>
          <w:i/>
          <w:iCs/>
        </w:rPr>
        <w:t>Fast CLI measurements are required due to dynamic scheduling of UEs. Configuring resources for such fast CLI measurements will increase measurement resource overhead</w:t>
      </w:r>
      <w:bookmarkEnd w:id="102"/>
      <w:r w:rsidRPr="004F0D45">
        <w:rPr>
          <w:b/>
          <w:bCs/>
          <w:i/>
          <w:iCs/>
        </w:rPr>
        <w:t xml:space="preserve"> </w:t>
      </w:r>
    </w:p>
    <w:p w14:paraId="50AD7046" w14:textId="7DEFD8DD" w:rsidR="002F4893" w:rsidRPr="004F0D45" w:rsidRDefault="002F4893" w:rsidP="005D664D">
      <w:pPr>
        <w:jc w:val="both"/>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F230AB" w:rsidRPr="004F0D45">
        <w:rPr>
          <w:b/>
          <w:bCs/>
          <w:i/>
          <w:iCs/>
          <w:noProof/>
        </w:rPr>
        <w:t>20</w:t>
      </w:r>
      <w:r w:rsidRPr="004F0D45">
        <w:rPr>
          <w:b/>
          <w:bCs/>
          <w:i/>
          <w:iCs/>
        </w:rPr>
        <w:fldChar w:fldCharType="end"/>
      </w:r>
      <w:r w:rsidRPr="004F0D45">
        <w:rPr>
          <w:b/>
          <w:bCs/>
          <w:i/>
          <w:iCs/>
        </w:rPr>
        <w:t xml:space="preserve">: </w:t>
      </w:r>
      <w:bookmarkStart w:id="103" w:name="_Ref127285769"/>
      <w:r w:rsidRPr="004F0D45">
        <w:rPr>
          <w:b/>
          <w:bCs/>
          <w:i/>
          <w:iCs/>
        </w:rPr>
        <w:t>UE cannot report the presence of CLI unless there are resources available for CLI measurement.</w:t>
      </w:r>
      <w:bookmarkEnd w:id="103"/>
      <w:r w:rsidRPr="004F0D45">
        <w:t xml:space="preserve">  </w:t>
      </w:r>
    </w:p>
    <w:p w14:paraId="4B6BE20B" w14:textId="77777777" w:rsidR="002F4893" w:rsidRPr="004F0D45" w:rsidRDefault="002F4893" w:rsidP="005D664D">
      <w:pPr>
        <w:pStyle w:val="Heading4"/>
        <w:jc w:val="both"/>
      </w:pPr>
      <w:r w:rsidRPr="004F0D45">
        <w:t>SRS-RSRP measurement within guard band</w:t>
      </w:r>
    </w:p>
    <w:p w14:paraId="13FAF149" w14:textId="2F9F6F8E" w:rsidR="002F4893" w:rsidRPr="004F0D45" w:rsidRDefault="002F4893" w:rsidP="00A34E96">
      <w:pPr>
        <w:spacing w:after="60"/>
        <w:jc w:val="both"/>
      </w:pPr>
      <w:r w:rsidRPr="004F0D45">
        <w:t>In SBFD, a slot can be partitioned into DL and UL subbands with guard bands (GB) between them. The GB resources are not used for UL or DL transmissions, and these resources can be configured to be used for CLI measurements</w:t>
      </w:r>
      <w:r w:rsidR="00084754" w:rsidRPr="004F0D45">
        <w:t xml:space="preserve">. </w:t>
      </w:r>
      <w:r w:rsidRPr="004F0D45">
        <w:t>This can reduce the resource overhead for SRS-RSRP measurements and make efficient use of GB resources. However, the existing SRS</w:t>
      </w:r>
      <w:r w:rsidR="00BB4244" w:rsidRPr="004F0D45">
        <w:t xml:space="preserve"> resource</w:t>
      </w:r>
      <w:r w:rsidRPr="004F0D45">
        <w:t xml:space="preserve"> configuration is not suitable for SRS-RSRP measurement within a GB. This is because up to 272 RBs can be configured for SRS-RSRP measurement, and the GB will not have such high number of RBs available. Therefore, to enable SRS-RSRP measurement within a GB, new SRS configurations must be de</w:t>
      </w:r>
      <w:r w:rsidR="00522747" w:rsidRPr="004F0D45">
        <w:t>fined</w:t>
      </w:r>
      <w:r w:rsidRPr="004F0D45">
        <w:t>. For example, an integer number of RBs, other than multiples of 4, can be configured for SRS transmission or SRS-RSRP measurement within a GB. Also, the UE can be configured to perform SRS-RSRP measurement on multiple (up to 14) symbols, instead of the restriction of 1 symbol in the existing configuration. Since the GB has fewer number of RBs, allowing SRS-RSRP</w:t>
      </w:r>
      <w:r w:rsidR="00107D41" w:rsidRPr="004F0D45">
        <w:t xml:space="preserve"> </w:t>
      </w:r>
      <w:r w:rsidRPr="004F0D45">
        <w:t>measurement over multiple symbols can improve measurement accuracy. Therefore, it is important to study optimized SRS</w:t>
      </w:r>
      <w:r w:rsidR="00522747" w:rsidRPr="004F0D45">
        <w:t xml:space="preserve"> resource</w:t>
      </w:r>
      <w:r w:rsidRPr="004F0D45">
        <w:t xml:space="preserve"> configurations that can enable effective SRS-RSRP measurements within a GB.</w:t>
      </w:r>
    </w:p>
    <w:p w14:paraId="2B74F9AE" w14:textId="52C12E4A" w:rsidR="00710F10" w:rsidRPr="004F0D45" w:rsidRDefault="002F4893" w:rsidP="004D1BC1">
      <w:pPr>
        <w:overflowPunct/>
        <w:autoSpaceDE/>
        <w:autoSpaceDN/>
        <w:adjustRightInd/>
        <w:spacing w:after="0"/>
        <w:contextualSpacing/>
        <w:jc w:val="both"/>
        <w:textAlignment w:val="center"/>
        <w:rPr>
          <w:b/>
          <w:bCs/>
          <w:i/>
          <w:iCs/>
        </w:rPr>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F230AB" w:rsidRPr="004F0D45">
        <w:rPr>
          <w:b/>
          <w:bCs/>
          <w:i/>
          <w:iCs/>
          <w:noProof/>
        </w:rPr>
        <w:t>21</w:t>
      </w:r>
      <w:r w:rsidRPr="004F0D45">
        <w:rPr>
          <w:b/>
          <w:bCs/>
          <w:i/>
          <w:iCs/>
          <w:noProof/>
        </w:rPr>
        <w:fldChar w:fldCharType="end"/>
      </w:r>
      <w:r w:rsidRPr="004F0D45">
        <w:rPr>
          <w:b/>
          <w:bCs/>
          <w:i/>
          <w:iCs/>
        </w:rPr>
        <w:t xml:space="preserve">: </w:t>
      </w:r>
      <w:bookmarkStart w:id="104" w:name="_Ref127183182"/>
      <w:r w:rsidRPr="004F0D45">
        <w:rPr>
          <w:b/>
          <w:bCs/>
          <w:i/>
          <w:iCs/>
        </w:rPr>
        <w:t>SRS-RSRP measurement within a GB can address resource overhead problem and make good use of available GB resources</w:t>
      </w:r>
      <w:bookmarkEnd w:id="104"/>
    </w:p>
    <w:p w14:paraId="287DF4FC" w14:textId="2D31EC2A" w:rsidR="002F4893" w:rsidRPr="004F0D45" w:rsidRDefault="002F4893" w:rsidP="004D1BC1">
      <w:pPr>
        <w:overflowPunct/>
        <w:autoSpaceDE/>
        <w:autoSpaceDN/>
        <w:adjustRightInd/>
        <w:spacing w:after="0"/>
        <w:contextualSpacing/>
        <w:jc w:val="both"/>
        <w:textAlignment w:val="center"/>
        <w:rPr>
          <w:b/>
          <w:bCs/>
          <w:i/>
          <w:iCs/>
        </w:rPr>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F230AB" w:rsidRPr="004F0D45">
        <w:rPr>
          <w:b/>
          <w:bCs/>
          <w:i/>
          <w:iCs/>
          <w:noProof/>
        </w:rPr>
        <w:t>22</w:t>
      </w:r>
      <w:r w:rsidRPr="004F0D45">
        <w:rPr>
          <w:b/>
          <w:bCs/>
          <w:i/>
          <w:iCs/>
          <w:noProof/>
        </w:rPr>
        <w:fldChar w:fldCharType="end"/>
      </w:r>
      <w:r w:rsidRPr="004F0D45">
        <w:rPr>
          <w:b/>
          <w:bCs/>
          <w:i/>
          <w:iCs/>
        </w:rPr>
        <w:t xml:space="preserve">: </w:t>
      </w:r>
      <w:bookmarkStart w:id="105" w:name="_Ref127285889"/>
      <w:r w:rsidRPr="004F0D45">
        <w:rPr>
          <w:b/>
          <w:bCs/>
          <w:i/>
          <w:iCs/>
        </w:rPr>
        <w:t>Efficient SRS-RSRP measurement within a GB requires redesigning of SRS</w:t>
      </w:r>
      <w:r w:rsidR="00C41DEC" w:rsidRPr="004F0D45">
        <w:rPr>
          <w:b/>
          <w:bCs/>
          <w:i/>
          <w:iCs/>
        </w:rPr>
        <w:t xml:space="preserve"> resource</w:t>
      </w:r>
      <w:r w:rsidRPr="004F0D45">
        <w:rPr>
          <w:b/>
          <w:bCs/>
          <w:i/>
          <w:iCs/>
        </w:rPr>
        <w:t xml:space="preserve"> configuration to fit GB size</w:t>
      </w:r>
      <w:bookmarkEnd w:id="105"/>
    </w:p>
    <w:p w14:paraId="39CF19E5" w14:textId="7198DF9C" w:rsidR="00084754" w:rsidRPr="004F0D45" w:rsidRDefault="002F4893" w:rsidP="00A34E96">
      <w:pPr>
        <w:overflowPunct/>
        <w:autoSpaceDE/>
        <w:autoSpaceDN/>
        <w:adjustRightInd/>
        <w:spacing w:after="120"/>
        <w:jc w:val="both"/>
        <w:textAlignment w:val="center"/>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35</w:t>
      </w:r>
      <w:r w:rsidRPr="004F0D45">
        <w:rPr>
          <w:b/>
          <w:bCs/>
          <w:i/>
          <w:iCs/>
        </w:rPr>
        <w:fldChar w:fldCharType="end"/>
      </w:r>
      <w:r w:rsidRPr="004F0D45">
        <w:rPr>
          <w:b/>
          <w:bCs/>
          <w:i/>
          <w:iCs/>
        </w:rPr>
        <w:t xml:space="preserve">: </w:t>
      </w:r>
      <w:bookmarkStart w:id="106" w:name="_Ref127183601"/>
      <w:bookmarkStart w:id="107" w:name="_Ref127286310"/>
      <w:r w:rsidRPr="004F0D45">
        <w:rPr>
          <w:b/>
          <w:bCs/>
          <w:i/>
          <w:iCs/>
        </w:rPr>
        <w:t xml:space="preserve">Study </w:t>
      </w:r>
      <w:bookmarkEnd w:id="106"/>
      <w:r w:rsidRPr="004F0D45">
        <w:rPr>
          <w:b/>
          <w:bCs/>
          <w:i/>
          <w:iCs/>
        </w:rPr>
        <w:t>optimized SRS</w:t>
      </w:r>
      <w:r w:rsidR="00C41DEC" w:rsidRPr="004F0D45">
        <w:rPr>
          <w:b/>
          <w:bCs/>
          <w:i/>
          <w:iCs/>
        </w:rPr>
        <w:t xml:space="preserve"> resource</w:t>
      </w:r>
      <w:r w:rsidRPr="004F0D45">
        <w:rPr>
          <w:b/>
          <w:bCs/>
          <w:i/>
          <w:iCs/>
        </w:rPr>
        <w:t xml:space="preserve"> configurations for CLI measurement within a GB</w:t>
      </w:r>
      <w:bookmarkEnd w:id="107"/>
      <w:r w:rsidR="00A34E96" w:rsidRPr="004F0D45">
        <w:rPr>
          <w:b/>
          <w:bCs/>
          <w:i/>
          <w:iCs/>
        </w:rPr>
        <w:t>.</w:t>
      </w:r>
    </w:p>
    <w:p w14:paraId="7C73E63A" w14:textId="77777777" w:rsidR="00F658AC" w:rsidRPr="004F0D45" w:rsidRDefault="00F658AC" w:rsidP="00001F0C">
      <w:pPr>
        <w:pStyle w:val="Heading4"/>
        <w:spacing w:before="0" w:after="0"/>
        <w:contextualSpacing/>
        <w:jc w:val="both"/>
      </w:pPr>
      <w:r w:rsidRPr="004F0D45">
        <w:t xml:space="preserve">CLI measurement with frequency differentiation </w:t>
      </w:r>
    </w:p>
    <w:p w14:paraId="0A1AB205" w14:textId="49EBAB43" w:rsidR="00F658AC" w:rsidRPr="004F0D45" w:rsidRDefault="00F658AC" w:rsidP="00A34E96">
      <w:pPr>
        <w:spacing w:after="60"/>
        <w:jc w:val="both"/>
      </w:pPr>
      <w:r w:rsidRPr="004F0D45">
        <w:t>Victim-aggressor pair knowledge is essential for CLI-aware scheduler since it can be used to mitigate CLI by scheduling UE pairs that do not cause sever CLI to each other. As there are multiple UE transmissions in the UL subband of a given slot, the current CLI-RSSI measurement doesn’t provide information on which UE(s) are the high aggressor</w:t>
      </w:r>
      <w:r w:rsidR="00187859" w:rsidRPr="004F0D45">
        <w:t>s</w:t>
      </w:r>
      <w:r w:rsidRPr="004F0D45">
        <w:t>. To enable CLI measurement that helps in identifying the aggressor UE(s), frequency differential can be employed. One way to achieve frequency differentiation in CLI measurement is to configure victim UEs to perform measurements on groups of RBs within the UL-SB of SBF</w:t>
      </w:r>
      <w:r w:rsidR="00DB3BF7" w:rsidRPr="004F0D45">
        <w:t>D</w:t>
      </w:r>
      <w:r w:rsidRPr="004F0D45">
        <w:t xml:space="preserve"> slots/symbols. The UE can be configured to include RB group indexes in the measurement report, which will enable the gNB to identify the aggressor UE(s) as the UE(s) scheduled on the reported RBs. An example is shown in </w:t>
      </w:r>
      <w:r w:rsidRPr="004F0D45">
        <w:fldChar w:fldCharType="begin"/>
      </w:r>
      <w:r w:rsidRPr="004F0D45">
        <w:instrText xml:space="preserve"> REF _Ref127182911 \h  \* MERGEFORMAT </w:instrText>
      </w:r>
      <w:r w:rsidRPr="004F0D45">
        <w:fldChar w:fldCharType="separate"/>
      </w:r>
      <w:r w:rsidR="00F230AB" w:rsidRPr="004F0D45">
        <w:t xml:space="preserve">Figure </w:t>
      </w:r>
      <w:r w:rsidR="00F230AB" w:rsidRPr="004F0D45">
        <w:rPr>
          <w:noProof/>
        </w:rPr>
        <w:t>14</w:t>
      </w:r>
      <w:r w:rsidRPr="004F0D45">
        <w:fldChar w:fldCharType="end"/>
      </w:r>
      <w:r w:rsidRPr="004F0D45">
        <w:t xml:space="preserve">, in which the victim UE will report high UE-UE CLI for RB Groups 1 and 2, and </w:t>
      </w:r>
      <w:r w:rsidRPr="004F0D45">
        <w:lastRenderedPageBreak/>
        <w:t>no UE-UE CLI for RB Group 3. However, the current specification does not support such frequency differentiation for CLI measurement. Therefore, it is important to bring enhancement to CLI measurement configuration to allow frequency differentiation when UE-UE CLI measurement is performed on UL-SB.</w:t>
      </w:r>
    </w:p>
    <w:p w14:paraId="7D91EE27" w14:textId="0FB223F1" w:rsidR="00F658AC" w:rsidRPr="004F0D45" w:rsidRDefault="00F658AC" w:rsidP="00492A93">
      <w:pPr>
        <w:spacing w:after="0"/>
        <w:contextualSpacing/>
        <w:jc w:val="center"/>
        <w:rPr>
          <w:lang w:eastAsia="da-DK"/>
        </w:rPr>
      </w:pPr>
      <w:r w:rsidRPr="004F0D45">
        <w:rPr>
          <w:noProof/>
        </w:rPr>
        <w:drawing>
          <wp:inline distT="0" distB="0" distL="0" distR="0" wp14:anchorId="013DBE0C" wp14:editId="38B079C6">
            <wp:extent cx="3565723" cy="1287475"/>
            <wp:effectExtent l="0" t="0" r="0" b="0"/>
            <wp:docPr id="5" name="Picture 3" descr="A picture containing logo&#10;&#10;Description automatically generated">
              <a:extLst xmlns:a="http://schemas.openxmlformats.org/drawingml/2006/main">
                <a:ext uri="{FF2B5EF4-FFF2-40B4-BE49-F238E27FC236}">
                  <a16:creationId xmlns:a16="http://schemas.microsoft.com/office/drawing/2014/main" id="{5DD40F4D-18F7-FAE1-BE39-5801C7369B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descr="A picture containing logo&#10;&#10;Description automatically generated">
                      <a:extLst>
                        <a:ext uri="{FF2B5EF4-FFF2-40B4-BE49-F238E27FC236}">
                          <a16:creationId xmlns:a16="http://schemas.microsoft.com/office/drawing/2014/main" id="{5DD40F4D-18F7-FAE1-BE39-5801C7369B73}"/>
                        </a:ext>
                      </a:extLst>
                    </pic:cNvPr>
                    <pic:cNvPicPr>
                      <a:picLocks noChangeAspect="1"/>
                    </pic:cNvPicPr>
                  </pic:nvPicPr>
                  <pic:blipFill>
                    <a:blip r:embed="rId27"/>
                    <a:stretch>
                      <a:fillRect/>
                    </a:stretch>
                  </pic:blipFill>
                  <pic:spPr>
                    <a:xfrm>
                      <a:off x="0" y="0"/>
                      <a:ext cx="3612978" cy="1304537"/>
                    </a:xfrm>
                    <a:prstGeom prst="rect">
                      <a:avLst/>
                    </a:prstGeom>
                  </pic:spPr>
                </pic:pic>
              </a:graphicData>
            </a:graphic>
          </wp:inline>
        </w:drawing>
      </w:r>
    </w:p>
    <w:p w14:paraId="30BD6C9C" w14:textId="2FFF98DE" w:rsidR="00F658AC" w:rsidRPr="004F0D45" w:rsidRDefault="00F658AC" w:rsidP="005A07CF">
      <w:pPr>
        <w:spacing w:after="120"/>
        <w:jc w:val="center"/>
      </w:pPr>
      <w:bookmarkStart w:id="108" w:name="_Ref127182911"/>
      <w:r w:rsidRPr="004F0D45">
        <w:t xml:space="preserve">Figure </w:t>
      </w:r>
      <w:r w:rsidRPr="004F0D45">
        <w:fldChar w:fldCharType="begin"/>
      </w:r>
      <w:r w:rsidRPr="004F0D45">
        <w:instrText xml:space="preserve"> SEQ Figure \* ARABIC </w:instrText>
      </w:r>
      <w:r w:rsidRPr="004F0D45">
        <w:fldChar w:fldCharType="separate"/>
      </w:r>
      <w:r w:rsidR="00F230AB" w:rsidRPr="004F0D45">
        <w:rPr>
          <w:noProof/>
        </w:rPr>
        <w:t>14</w:t>
      </w:r>
      <w:r w:rsidRPr="004F0D45">
        <w:rPr>
          <w:noProof/>
        </w:rPr>
        <w:fldChar w:fldCharType="end"/>
      </w:r>
      <w:bookmarkEnd w:id="108"/>
      <w:r w:rsidRPr="004F0D45">
        <w:t>: CLI measurement on UL subband with frequency differentiation.</w:t>
      </w:r>
    </w:p>
    <w:p w14:paraId="601E2D47" w14:textId="5049BA27" w:rsidR="00F658AC" w:rsidRPr="004F0D45" w:rsidRDefault="00F658AC" w:rsidP="00A34E96">
      <w:pPr>
        <w:spacing w:after="60"/>
        <w:jc w:val="both"/>
        <w:rPr>
          <w:b/>
          <w:bCs/>
          <w:i/>
          <w:iCs/>
        </w:rPr>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F230AB" w:rsidRPr="004F0D45">
        <w:rPr>
          <w:b/>
          <w:bCs/>
          <w:i/>
          <w:iCs/>
          <w:noProof/>
        </w:rPr>
        <w:t>23</w:t>
      </w:r>
      <w:r w:rsidRPr="004F0D45">
        <w:rPr>
          <w:b/>
          <w:bCs/>
          <w:i/>
          <w:iCs/>
          <w:noProof/>
        </w:rPr>
        <w:fldChar w:fldCharType="end"/>
      </w:r>
      <w:r w:rsidRPr="004F0D45">
        <w:rPr>
          <w:b/>
          <w:bCs/>
          <w:i/>
          <w:iCs/>
        </w:rPr>
        <w:t xml:space="preserve">: </w:t>
      </w:r>
      <w:bookmarkStart w:id="109" w:name="_Ref131537494"/>
      <w:bookmarkStart w:id="110" w:name="_Ref127183199"/>
      <w:r w:rsidRPr="004F0D45">
        <w:rPr>
          <w:b/>
          <w:bCs/>
          <w:i/>
          <w:iCs/>
        </w:rPr>
        <w:t>Frequency differentiation for CLI measurement on UL-SB can enable gNB to identify individual CLI aggressors</w:t>
      </w:r>
      <w:bookmarkEnd w:id="109"/>
    </w:p>
    <w:bookmarkEnd w:id="110"/>
    <w:p w14:paraId="401996DD" w14:textId="4029C783" w:rsidR="00F658AC" w:rsidRPr="004F0D45" w:rsidRDefault="00F658AC" w:rsidP="00A34E96">
      <w:pPr>
        <w:overflowPunct/>
        <w:autoSpaceDE/>
        <w:autoSpaceDN/>
        <w:adjustRightInd/>
        <w:spacing w:after="0"/>
        <w:jc w:val="both"/>
        <w:textAlignment w:val="center"/>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36</w:t>
      </w:r>
      <w:r w:rsidRPr="004F0D45">
        <w:rPr>
          <w:b/>
          <w:bCs/>
          <w:i/>
          <w:iCs/>
        </w:rPr>
        <w:fldChar w:fldCharType="end"/>
      </w:r>
      <w:r w:rsidRPr="004F0D45">
        <w:rPr>
          <w:b/>
          <w:bCs/>
          <w:i/>
          <w:iCs/>
        </w:rPr>
        <w:t xml:space="preserve">: </w:t>
      </w:r>
      <w:bookmarkStart w:id="111" w:name="_Ref127183632"/>
      <w:bookmarkStart w:id="112" w:name="_Ref127286325"/>
      <w:r w:rsidRPr="004F0D45">
        <w:rPr>
          <w:b/>
          <w:bCs/>
          <w:i/>
          <w:iCs/>
        </w:rPr>
        <w:t xml:space="preserve">Study </w:t>
      </w:r>
      <w:bookmarkEnd w:id="111"/>
      <w:r w:rsidRPr="004F0D45">
        <w:rPr>
          <w:b/>
          <w:bCs/>
          <w:i/>
          <w:iCs/>
        </w:rPr>
        <w:t>CLI measurement on UL-SB with frequency differentiation</w:t>
      </w:r>
      <w:bookmarkEnd w:id="112"/>
      <w:r w:rsidRPr="004F0D45">
        <w:rPr>
          <w:b/>
          <w:bCs/>
          <w:i/>
          <w:iCs/>
        </w:rPr>
        <w:t xml:space="preserve"> </w:t>
      </w:r>
    </w:p>
    <w:p w14:paraId="773DE212" w14:textId="64B054E6" w:rsidR="0099307C" w:rsidRPr="004F0D45" w:rsidRDefault="0099307C" w:rsidP="005D664D">
      <w:pPr>
        <w:pStyle w:val="Heading1"/>
        <w:jc w:val="both"/>
      </w:pPr>
      <w:r w:rsidRPr="004F0D45">
        <w:t>Conclusion</w:t>
      </w:r>
    </w:p>
    <w:p w14:paraId="3A19D090" w14:textId="22BF0097" w:rsidR="00AA5D66" w:rsidRPr="004F0D45" w:rsidRDefault="00777AB2" w:rsidP="005D664D">
      <w:pPr>
        <w:jc w:val="both"/>
        <w:rPr>
          <w:rStyle w:val="normaltextrun"/>
          <w:shd w:val="clear" w:color="auto" w:fill="FFFFFF"/>
        </w:rPr>
      </w:pPr>
      <w:r w:rsidRPr="004F0D45">
        <w:rPr>
          <w:rStyle w:val="normaltextrun"/>
          <w:shd w:val="clear" w:color="auto" w:fill="FFFFFF"/>
        </w:rPr>
        <w:t xml:space="preserve">In this contribution, we discussed </w:t>
      </w:r>
      <w:r w:rsidR="00B33716" w:rsidRPr="004F0D45">
        <w:t>SBFD for NR</w:t>
      </w:r>
      <w:r w:rsidR="00B33716" w:rsidRPr="004F0D45">
        <w:rPr>
          <w:rStyle w:val="normaltextrun"/>
          <w:shd w:val="clear" w:color="auto" w:fill="FFFFFF"/>
        </w:rPr>
        <w:t xml:space="preserve">, and </w:t>
      </w:r>
      <w:r w:rsidR="00F8296B" w:rsidRPr="004F0D45">
        <w:rPr>
          <w:rStyle w:val="normaltextrun"/>
          <w:shd w:val="clear" w:color="auto" w:fill="FFFFFF"/>
        </w:rPr>
        <w:t>included</w:t>
      </w:r>
      <w:r w:rsidR="00B33716" w:rsidRPr="004F0D45">
        <w:rPr>
          <w:rStyle w:val="normaltextrun"/>
          <w:shd w:val="clear" w:color="auto" w:fill="FFFFFF"/>
        </w:rPr>
        <w:t xml:space="preserve"> </w:t>
      </w:r>
      <w:r w:rsidR="00B33716" w:rsidRPr="004F0D45">
        <w:t xml:space="preserve">considerations </w:t>
      </w:r>
      <w:r w:rsidR="00AA5D66" w:rsidRPr="004F0D45">
        <w:t>on subband</w:t>
      </w:r>
      <w:r w:rsidR="008D559D" w:rsidRPr="004F0D45">
        <w:t xml:space="preserve"> </w:t>
      </w:r>
      <w:r w:rsidR="00AA5D66" w:rsidRPr="004F0D45">
        <w:t>partition signalling and operation,</w:t>
      </w:r>
      <w:r w:rsidR="008D559D" w:rsidRPr="004F0D45">
        <w:t xml:space="preserve"> and </w:t>
      </w:r>
      <w:r w:rsidR="00AA5D66" w:rsidRPr="004F0D45">
        <w:t>frequency domain-resource allocation</w:t>
      </w:r>
      <w:r w:rsidR="00671093" w:rsidRPr="004F0D45">
        <w:t xml:space="preserve"> </w:t>
      </w:r>
      <w:r w:rsidR="008D559D" w:rsidRPr="004F0D45">
        <w:t>a</w:t>
      </w:r>
      <w:r w:rsidR="00AA5D66" w:rsidRPr="004F0D45">
        <w:t>nd</w:t>
      </w:r>
      <w:r w:rsidR="008D559D" w:rsidRPr="004F0D45">
        <w:t xml:space="preserve"> UE-UE CLI measurement</w:t>
      </w:r>
      <w:r w:rsidR="00B33716" w:rsidRPr="004F0D45">
        <w:rPr>
          <w:rFonts w:eastAsia="Times New Roman"/>
          <w:lang w:eastAsia="da-DK"/>
        </w:rPr>
        <w:t xml:space="preserve"> </w:t>
      </w:r>
      <w:r w:rsidR="008D559D" w:rsidRPr="004F0D45">
        <w:rPr>
          <w:rFonts w:eastAsia="Times New Roman"/>
          <w:lang w:eastAsia="da-DK"/>
        </w:rPr>
        <w:t xml:space="preserve">in </w:t>
      </w:r>
      <w:r w:rsidR="00B33716" w:rsidRPr="004F0D45">
        <w:t>SBFD</w:t>
      </w:r>
      <w:r w:rsidR="00B33716" w:rsidRPr="004F0D45">
        <w:rPr>
          <w:rStyle w:val="normaltextrun"/>
          <w:shd w:val="clear" w:color="auto" w:fill="FFFFFF"/>
        </w:rPr>
        <w:t>.</w:t>
      </w:r>
    </w:p>
    <w:p w14:paraId="5B13E9A7" w14:textId="0761C5D8" w:rsidR="00D458AE" w:rsidRPr="004F0D45" w:rsidRDefault="00B41858" w:rsidP="005A07CF">
      <w:pPr>
        <w:spacing w:after="60"/>
        <w:jc w:val="both"/>
        <w:rPr>
          <w:b/>
          <w:bCs/>
          <w:i/>
          <w:iCs/>
          <w:bdr w:val="none" w:sz="0" w:space="0" w:color="auto" w:frame="1"/>
        </w:rPr>
      </w:pPr>
      <w:r w:rsidRPr="004F0D45">
        <w:rPr>
          <w:b/>
          <w:bCs/>
          <w:i/>
          <w:iCs/>
          <w:bdr w:val="none" w:sz="0" w:space="0" w:color="auto" w:frame="1"/>
        </w:rPr>
        <w:t xml:space="preserve">Observation </w:t>
      </w:r>
      <w:r w:rsidRPr="004F0D45">
        <w:rPr>
          <w:b/>
          <w:bCs/>
          <w:i/>
          <w:iCs/>
        </w:rPr>
        <w:fldChar w:fldCharType="begin"/>
      </w:r>
      <w:r w:rsidRPr="004F0D45">
        <w:rPr>
          <w:b/>
          <w:bCs/>
          <w:i/>
          <w:iCs/>
        </w:rPr>
        <w:instrText xml:space="preserve"> SEQ Observation \r1 </w:instrText>
      </w:r>
      <w:r w:rsidRPr="004F0D45">
        <w:rPr>
          <w:b/>
          <w:bCs/>
          <w:i/>
          <w:iCs/>
        </w:rPr>
        <w:fldChar w:fldCharType="separate"/>
      </w:r>
      <w:r w:rsidR="00F230AB" w:rsidRPr="004F0D45">
        <w:rPr>
          <w:b/>
          <w:bCs/>
          <w:i/>
          <w:iCs/>
          <w:noProof/>
        </w:rPr>
        <w:t>1</w:t>
      </w:r>
      <w:r w:rsidRPr="004F0D45">
        <w:rPr>
          <w:b/>
          <w:bCs/>
          <w:i/>
          <w:iCs/>
        </w:rPr>
        <w:fldChar w:fldCharType="end"/>
      </w:r>
      <w:r w:rsidRPr="004F0D45">
        <w:rPr>
          <w:rFonts w:cstheme="minorHAnsi"/>
          <w:b/>
          <w:bCs/>
          <w:i/>
          <w:iCs/>
        </w:rPr>
        <w:t>:</w:t>
      </w:r>
      <w:r w:rsidRPr="004F0D45">
        <w:rPr>
          <w:b/>
          <w:bCs/>
          <w:i/>
          <w:iCs/>
          <w:bdr w:val="none" w:sz="0" w:space="0" w:color="auto" w:frame="1"/>
        </w:rPr>
        <w:t xml:space="preserve"> </w:t>
      </w:r>
      <w:r w:rsidR="009448CD" w:rsidRPr="004F0D45">
        <w:rPr>
          <w:b/>
          <w:bCs/>
          <w:i/>
          <w:iCs/>
        </w:rPr>
        <w:fldChar w:fldCharType="begin"/>
      </w:r>
      <w:r w:rsidR="009448CD" w:rsidRPr="004F0D45">
        <w:rPr>
          <w:b/>
          <w:bCs/>
          <w:i/>
          <w:iCs/>
          <w:bdr w:val="none" w:sz="0" w:space="0" w:color="auto" w:frame="1"/>
        </w:rPr>
        <w:instrText xml:space="preserve"> REF _Ref134108220 \h </w:instrText>
      </w:r>
      <w:r w:rsidR="009448CD" w:rsidRPr="004F0D45">
        <w:rPr>
          <w:b/>
          <w:bCs/>
          <w:i/>
          <w:iCs/>
        </w:rPr>
        <w:instrText xml:space="preserve"> \* MERGEFORMAT </w:instrText>
      </w:r>
      <w:r w:rsidR="009448CD" w:rsidRPr="004F0D45">
        <w:rPr>
          <w:b/>
          <w:bCs/>
          <w:i/>
          <w:iCs/>
        </w:rPr>
      </w:r>
      <w:r w:rsidR="009448CD" w:rsidRPr="004F0D45">
        <w:rPr>
          <w:b/>
          <w:bCs/>
          <w:i/>
          <w:iCs/>
        </w:rPr>
        <w:fldChar w:fldCharType="separate"/>
      </w:r>
      <w:r w:rsidR="00F230AB" w:rsidRPr="004F0D45">
        <w:rPr>
          <w:b/>
          <w:bCs/>
          <w:i/>
          <w:iCs/>
        </w:rPr>
        <w:t>Configuring a single SBFD subband layout does not provide protection against interference from neighbouring gNBs on all slots</w:t>
      </w:r>
      <w:r w:rsidR="009448CD" w:rsidRPr="004F0D45">
        <w:rPr>
          <w:b/>
          <w:bCs/>
          <w:i/>
          <w:iCs/>
        </w:rPr>
        <w:fldChar w:fldCharType="end"/>
      </w:r>
    </w:p>
    <w:p w14:paraId="6DF92DB2" w14:textId="7A932469" w:rsidR="00B376AD" w:rsidRPr="004F0D45" w:rsidRDefault="00D458AE" w:rsidP="005A07CF">
      <w:pPr>
        <w:spacing w:after="60"/>
        <w:jc w:val="both"/>
        <w:rPr>
          <w:b/>
          <w:bCs/>
          <w:i/>
          <w:iCs/>
        </w:rPr>
      </w:pPr>
      <w:r w:rsidRPr="004F0D45">
        <w:rPr>
          <w:rFonts w:cstheme="minorHAnsi"/>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F230AB" w:rsidRPr="004F0D45">
        <w:rPr>
          <w:b/>
          <w:bCs/>
          <w:i/>
          <w:iCs/>
          <w:noProof/>
        </w:rPr>
        <w:t>2</w:t>
      </w:r>
      <w:r w:rsidRPr="004F0D45">
        <w:fldChar w:fldCharType="end"/>
      </w:r>
      <w:r w:rsidRPr="004F0D45">
        <w:rPr>
          <w:rFonts w:cstheme="minorHAnsi"/>
          <w:b/>
          <w:bCs/>
          <w:i/>
          <w:iCs/>
        </w:rPr>
        <w:t xml:space="preserve">: </w:t>
      </w:r>
      <w:r w:rsidR="002F3C1C" w:rsidRPr="004F0D45">
        <w:rPr>
          <w:b/>
          <w:bCs/>
          <w:i/>
          <w:iCs/>
        </w:rPr>
        <w:fldChar w:fldCharType="begin"/>
      </w:r>
      <w:r w:rsidR="002F3C1C" w:rsidRPr="004F0D45">
        <w:rPr>
          <w:b/>
          <w:bCs/>
          <w:i/>
          <w:iCs/>
          <w:bdr w:val="none" w:sz="0" w:space="0" w:color="auto" w:frame="1"/>
        </w:rPr>
        <w:instrText xml:space="preserve"> REF _Ref118365266 \h </w:instrText>
      </w:r>
      <w:r w:rsidR="002F3C1C" w:rsidRPr="004F0D45">
        <w:rPr>
          <w:b/>
          <w:bCs/>
          <w:i/>
          <w:iCs/>
        </w:rPr>
        <w:instrText xml:space="preserve"> \* MERGEFORMAT </w:instrText>
      </w:r>
      <w:r w:rsidR="002F3C1C" w:rsidRPr="004F0D45">
        <w:rPr>
          <w:b/>
          <w:bCs/>
          <w:i/>
          <w:iCs/>
        </w:rPr>
      </w:r>
      <w:r w:rsidR="002F3C1C" w:rsidRPr="004F0D45">
        <w:rPr>
          <w:b/>
          <w:bCs/>
          <w:i/>
          <w:iCs/>
        </w:rPr>
        <w:fldChar w:fldCharType="separate"/>
      </w:r>
      <w:r w:rsidR="00F230AB" w:rsidRPr="004F0D45">
        <w:rPr>
          <w:b/>
          <w:bCs/>
          <w:i/>
          <w:iCs/>
        </w:rPr>
        <w:t xml:space="preserve">Non-contiguous and contiguous subband layout yield similar latency </w:t>
      </w:r>
      <w:proofErr w:type="gramStart"/>
      <w:r w:rsidR="00F230AB" w:rsidRPr="004F0D45">
        <w:rPr>
          <w:b/>
          <w:bCs/>
          <w:i/>
          <w:iCs/>
        </w:rPr>
        <w:t>gain</w:t>
      </w:r>
      <w:proofErr w:type="gramEnd"/>
      <w:r w:rsidR="00F230AB" w:rsidRPr="004F0D45">
        <w:rPr>
          <w:b/>
          <w:bCs/>
          <w:i/>
          <w:iCs/>
        </w:rPr>
        <w:t xml:space="preserve"> in single retransmission, high-data-rate, low-latency traffic scenario. But non-contiguous SBFD symbols cause less perturbation to </w:t>
      </w:r>
      <w:proofErr w:type="gramStart"/>
      <w:r w:rsidR="00F230AB" w:rsidRPr="004F0D45">
        <w:rPr>
          <w:b/>
          <w:bCs/>
          <w:i/>
          <w:iCs/>
        </w:rPr>
        <w:t>synchronized</w:t>
      </w:r>
      <w:proofErr w:type="gramEnd"/>
      <w:r w:rsidR="00F230AB" w:rsidRPr="004F0D45">
        <w:rPr>
          <w:b/>
          <w:bCs/>
          <w:i/>
          <w:iCs/>
        </w:rPr>
        <w:t xml:space="preserve"> TDD layout.</w:t>
      </w:r>
      <w:r w:rsidR="002F3C1C" w:rsidRPr="004F0D45">
        <w:rPr>
          <w:b/>
          <w:bCs/>
          <w:i/>
          <w:iCs/>
        </w:rPr>
        <w:fldChar w:fldCharType="end"/>
      </w:r>
    </w:p>
    <w:p w14:paraId="3C963B8D" w14:textId="0D631823" w:rsidR="004C4E4F" w:rsidRPr="004F0D45" w:rsidRDefault="004C4E4F" w:rsidP="005A07CF">
      <w:pPr>
        <w:spacing w:after="60"/>
        <w:jc w:val="both"/>
        <w:rPr>
          <w:rFonts w:cstheme="minorHAnsi"/>
          <w:b/>
          <w:bCs/>
          <w:i/>
          <w:iCs/>
        </w:rPr>
      </w:pPr>
      <w:r w:rsidRPr="004F0D45">
        <w:rPr>
          <w:rFonts w:cstheme="minorHAnsi"/>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F230AB" w:rsidRPr="004F0D45">
        <w:rPr>
          <w:b/>
          <w:bCs/>
          <w:i/>
          <w:iCs/>
          <w:noProof/>
        </w:rPr>
        <w:t>3</w:t>
      </w:r>
      <w:r w:rsidRPr="004F0D45">
        <w:fldChar w:fldCharType="end"/>
      </w:r>
      <w:r w:rsidRPr="004F0D45">
        <w:rPr>
          <w:rFonts w:cstheme="minorHAnsi"/>
          <w:b/>
          <w:bCs/>
          <w:i/>
          <w:iCs/>
        </w:rPr>
        <w:t xml:space="preserve">: </w:t>
      </w:r>
      <w:r w:rsidRPr="004F0D45">
        <w:rPr>
          <w:b/>
          <w:bCs/>
          <w:i/>
          <w:iCs/>
        </w:rPr>
        <w:fldChar w:fldCharType="begin"/>
      </w:r>
      <w:r w:rsidRPr="004F0D45">
        <w:rPr>
          <w:rFonts w:cstheme="minorHAnsi"/>
          <w:b/>
          <w:bCs/>
          <w:i/>
          <w:iCs/>
        </w:rPr>
        <w:instrText xml:space="preserve"> REF _Ref127187589 \h </w:instrText>
      </w:r>
      <w:r w:rsidR="00397FE2" w:rsidRPr="004F0D45">
        <w:rPr>
          <w:b/>
          <w:bCs/>
          <w:i/>
          <w:iCs/>
        </w:rPr>
        <w:instrText xml:space="preserve"> \* MERGEFORMAT </w:instrText>
      </w:r>
      <w:r w:rsidRPr="004F0D45">
        <w:rPr>
          <w:b/>
          <w:bCs/>
          <w:i/>
          <w:iCs/>
        </w:rPr>
      </w:r>
      <w:r w:rsidRPr="004F0D45">
        <w:rPr>
          <w:b/>
          <w:bCs/>
          <w:i/>
          <w:iCs/>
        </w:rPr>
        <w:fldChar w:fldCharType="separate"/>
      </w:r>
      <w:r w:rsidR="00F230AB" w:rsidRPr="004F0D45">
        <w:rPr>
          <w:b/>
          <w:bCs/>
          <w:i/>
          <w:iCs/>
        </w:rPr>
        <w:t>Enabling PRACH transmissions on SBFD partitioned slots/symbols can be beneficial to SBFD-aware UEs. It can make more PRACH resources available and reduce initial access latency.</w:t>
      </w:r>
      <w:r w:rsidRPr="004F0D45">
        <w:rPr>
          <w:b/>
          <w:bCs/>
          <w:i/>
          <w:iCs/>
        </w:rPr>
        <w:fldChar w:fldCharType="end"/>
      </w:r>
    </w:p>
    <w:p w14:paraId="2BD49A2D" w14:textId="6ACFEBA8" w:rsidR="008440C0" w:rsidRPr="004F0D45" w:rsidRDefault="008440C0" w:rsidP="005A07CF">
      <w:pPr>
        <w:spacing w:after="60"/>
        <w:jc w:val="both"/>
        <w:rPr>
          <w:rFonts w:cstheme="minorHAnsi"/>
          <w:b/>
          <w:bCs/>
          <w:i/>
          <w:iCs/>
        </w:rPr>
      </w:pPr>
      <w:r w:rsidRPr="004F0D45">
        <w:rPr>
          <w:rFonts w:cstheme="minorHAnsi"/>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F230AB" w:rsidRPr="004F0D45">
        <w:rPr>
          <w:b/>
          <w:bCs/>
          <w:i/>
          <w:iCs/>
          <w:noProof/>
        </w:rPr>
        <w:t>4</w:t>
      </w:r>
      <w:r w:rsidRPr="004F0D45">
        <w:fldChar w:fldCharType="end"/>
      </w:r>
      <w:r w:rsidRPr="004F0D45">
        <w:rPr>
          <w:rFonts w:cstheme="minorHAnsi"/>
          <w:b/>
          <w:bCs/>
          <w:i/>
          <w:iCs/>
        </w:rPr>
        <w:t xml:space="preserve">: </w:t>
      </w:r>
      <w:r w:rsidR="00486478" w:rsidRPr="004F0D45">
        <w:rPr>
          <w:rFonts w:cstheme="minorHAnsi"/>
          <w:b/>
          <w:bCs/>
          <w:i/>
          <w:iCs/>
        </w:rPr>
        <w:fldChar w:fldCharType="begin"/>
      </w:r>
      <w:r w:rsidR="00486478" w:rsidRPr="004F0D45">
        <w:rPr>
          <w:rFonts w:cstheme="minorHAnsi"/>
          <w:b/>
          <w:bCs/>
          <w:i/>
          <w:iCs/>
        </w:rPr>
        <w:instrText xml:space="preserve"> REF _Ref118365536 \h </w:instrText>
      </w:r>
      <w:r w:rsidR="00397FE2" w:rsidRPr="004F0D45">
        <w:rPr>
          <w:rFonts w:cstheme="minorHAnsi"/>
          <w:b/>
          <w:bCs/>
          <w:i/>
          <w:iCs/>
        </w:rPr>
        <w:instrText xml:space="preserve"> \* MERGEFORMAT </w:instrText>
      </w:r>
      <w:r w:rsidR="00486478" w:rsidRPr="004F0D45">
        <w:rPr>
          <w:rFonts w:cstheme="minorHAnsi"/>
          <w:b/>
          <w:bCs/>
          <w:i/>
          <w:iCs/>
        </w:rPr>
      </w:r>
      <w:r w:rsidR="00486478" w:rsidRPr="004F0D45">
        <w:rPr>
          <w:rFonts w:cstheme="minorHAnsi"/>
          <w:b/>
          <w:bCs/>
          <w:i/>
          <w:iCs/>
        </w:rPr>
        <w:fldChar w:fldCharType="separate"/>
      </w:r>
      <w:r w:rsidR="00F230AB" w:rsidRPr="004F0D45">
        <w:rPr>
          <w:rFonts w:cstheme="minorHAnsi"/>
          <w:b/>
          <w:bCs/>
          <w:i/>
          <w:iCs/>
        </w:rPr>
        <w:t>CORESET allocation readily supports non-contiguous frequency-domain allocation and monitoring up to three different CORESETs in a BWP.</w:t>
      </w:r>
      <w:r w:rsidR="00486478" w:rsidRPr="004F0D45">
        <w:rPr>
          <w:rFonts w:cstheme="minorHAnsi"/>
          <w:b/>
          <w:bCs/>
          <w:i/>
          <w:iCs/>
        </w:rPr>
        <w:fldChar w:fldCharType="end"/>
      </w:r>
    </w:p>
    <w:p w14:paraId="162B6BC5" w14:textId="0F1515CD" w:rsidR="008440C0" w:rsidRPr="004F0D45" w:rsidRDefault="008440C0" w:rsidP="005A07CF">
      <w:pPr>
        <w:spacing w:after="60"/>
        <w:jc w:val="both"/>
        <w:rPr>
          <w:rFonts w:cstheme="minorHAnsi"/>
          <w:b/>
          <w:bCs/>
          <w:i/>
          <w:iCs/>
        </w:rPr>
      </w:pPr>
      <w:r w:rsidRPr="004F0D45">
        <w:rPr>
          <w:rFonts w:cstheme="minorHAnsi"/>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F230AB" w:rsidRPr="004F0D45">
        <w:rPr>
          <w:b/>
          <w:bCs/>
          <w:i/>
          <w:iCs/>
          <w:noProof/>
        </w:rPr>
        <w:t>5</w:t>
      </w:r>
      <w:r w:rsidRPr="004F0D45">
        <w:fldChar w:fldCharType="end"/>
      </w:r>
      <w:r w:rsidRPr="004F0D45">
        <w:rPr>
          <w:rFonts w:cstheme="minorHAnsi"/>
          <w:b/>
          <w:bCs/>
          <w:i/>
          <w:iCs/>
        </w:rPr>
        <w:t xml:space="preserve">: </w:t>
      </w:r>
      <w:r w:rsidR="00486478" w:rsidRPr="004F0D45">
        <w:rPr>
          <w:rFonts w:cstheme="minorHAnsi"/>
          <w:b/>
          <w:bCs/>
          <w:i/>
          <w:iCs/>
        </w:rPr>
        <w:fldChar w:fldCharType="begin"/>
      </w:r>
      <w:r w:rsidR="00486478" w:rsidRPr="004F0D45">
        <w:rPr>
          <w:rFonts w:cstheme="minorHAnsi"/>
          <w:b/>
          <w:bCs/>
          <w:i/>
          <w:iCs/>
        </w:rPr>
        <w:instrText xml:space="preserve"> REF _Ref118365552 \h </w:instrText>
      </w:r>
      <w:r w:rsidR="00397FE2" w:rsidRPr="004F0D45">
        <w:rPr>
          <w:rFonts w:cstheme="minorHAnsi"/>
          <w:b/>
          <w:bCs/>
          <w:i/>
          <w:iCs/>
        </w:rPr>
        <w:instrText xml:space="preserve"> \* MERGEFORMAT </w:instrText>
      </w:r>
      <w:r w:rsidR="00486478" w:rsidRPr="004F0D45">
        <w:rPr>
          <w:rFonts w:cstheme="minorHAnsi"/>
          <w:b/>
          <w:bCs/>
          <w:i/>
          <w:iCs/>
        </w:rPr>
      </w:r>
      <w:r w:rsidR="00486478" w:rsidRPr="004F0D45">
        <w:rPr>
          <w:rFonts w:cstheme="minorHAnsi"/>
          <w:b/>
          <w:bCs/>
          <w:i/>
          <w:iCs/>
        </w:rPr>
        <w:fldChar w:fldCharType="separate"/>
      </w:r>
      <w:r w:rsidR="00F230AB" w:rsidRPr="004F0D45">
        <w:rPr>
          <w:rFonts w:cstheme="minorHAnsi"/>
          <w:b/>
          <w:bCs/>
          <w:i/>
          <w:iCs/>
        </w:rPr>
        <w:t>Configuring PDCCH monitoring over different CORESETs for SBFD and non-SBFD slots/symbols may require configuring separate search spaces per each slot in the periodic SBFD partition pattern, each with the same slot periodicity but different slot offsets, soon using up the maximum number of search spaces that can be configured.</w:t>
      </w:r>
      <w:r w:rsidR="00486478" w:rsidRPr="004F0D45">
        <w:rPr>
          <w:rFonts w:cstheme="minorHAnsi"/>
          <w:b/>
          <w:bCs/>
          <w:i/>
          <w:iCs/>
        </w:rPr>
        <w:fldChar w:fldCharType="end"/>
      </w:r>
    </w:p>
    <w:p w14:paraId="4BC7122F" w14:textId="593D48F4" w:rsidR="008440C0" w:rsidRPr="004F0D45" w:rsidRDefault="008440C0" w:rsidP="005A07CF">
      <w:pPr>
        <w:shd w:val="clear" w:color="auto" w:fill="FFFFFF"/>
        <w:spacing w:after="60"/>
        <w:jc w:val="both"/>
        <w:rPr>
          <w:b/>
          <w:bCs/>
          <w:i/>
          <w:iCs/>
        </w:rPr>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F230AB" w:rsidRPr="004F0D45">
        <w:rPr>
          <w:b/>
          <w:bCs/>
          <w:i/>
          <w:iCs/>
          <w:noProof/>
        </w:rPr>
        <w:t>6</w:t>
      </w:r>
      <w:r w:rsidRPr="004F0D45">
        <w:fldChar w:fldCharType="end"/>
      </w:r>
      <w:r w:rsidRPr="004F0D45">
        <w:rPr>
          <w:b/>
          <w:bCs/>
          <w:i/>
          <w:iCs/>
        </w:rPr>
        <w:t xml:space="preserve">: </w:t>
      </w:r>
      <w:r w:rsidR="00486478" w:rsidRPr="004F0D45">
        <w:rPr>
          <w:b/>
          <w:bCs/>
          <w:i/>
          <w:iCs/>
        </w:rPr>
        <w:fldChar w:fldCharType="begin"/>
      </w:r>
      <w:r w:rsidR="00486478" w:rsidRPr="004F0D45">
        <w:rPr>
          <w:b/>
          <w:bCs/>
          <w:i/>
          <w:iCs/>
        </w:rPr>
        <w:instrText xml:space="preserve"> REF _Ref118365565 \h </w:instrText>
      </w:r>
      <w:r w:rsidR="00397FE2" w:rsidRPr="004F0D45">
        <w:rPr>
          <w:b/>
          <w:bCs/>
          <w:i/>
          <w:iCs/>
        </w:rPr>
        <w:instrText xml:space="preserve"> \* MERGEFORMAT </w:instrText>
      </w:r>
      <w:r w:rsidR="00486478" w:rsidRPr="004F0D45">
        <w:rPr>
          <w:b/>
          <w:bCs/>
          <w:i/>
          <w:iCs/>
        </w:rPr>
      </w:r>
      <w:r w:rsidR="00486478" w:rsidRPr="004F0D45">
        <w:rPr>
          <w:b/>
          <w:bCs/>
          <w:i/>
          <w:iCs/>
        </w:rPr>
        <w:fldChar w:fldCharType="separate"/>
      </w:r>
      <w:r w:rsidR="00F230AB" w:rsidRPr="004F0D45">
        <w:rPr>
          <w:b/>
          <w:bCs/>
          <w:i/>
          <w:iCs/>
        </w:rPr>
        <w:t>When using FDRA Type-0 for PDSCH scheduling, certain RBG(s) may be unavailable due to partial overlap with UL-subband (and/or any guard band) leading to resource fragmentation.</w:t>
      </w:r>
      <w:r w:rsidR="00486478" w:rsidRPr="004F0D45">
        <w:rPr>
          <w:b/>
          <w:bCs/>
          <w:i/>
          <w:iCs/>
        </w:rPr>
        <w:fldChar w:fldCharType="end"/>
      </w:r>
    </w:p>
    <w:p w14:paraId="3378DF1B" w14:textId="0526F194" w:rsidR="00283DB9" w:rsidRPr="004F0D45" w:rsidRDefault="00283DB9" w:rsidP="005A07CF">
      <w:pPr>
        <w:shd w:val="clear" w:color="auto" w:fill="FFFFFF"/>
        <w:spacing w:after="60"/>
        <w:jc w:val="both"/>
        <w:rPr>
          <w:b/>
          <w:bCs/>
          <w:i/>
          <w:iCs/>
        </w:rPr>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F230AB" w:rsidRPr="004F0D45">
        <w:rPr>
          <w:b/>
          <w:bCs/>
          <w:i/>
          <w:iCs/>
          <w:noProof/>
        </w:rPr>
        <w:t>7</w:t>
      </w:r>
      <w:r w:rsidRPr="004F0D45">
        <w:fldChar w:fldCharType="end"/>
      </w:r>
      <w:r w:rsidRPr="004F0D45">
        <w:rPr>
          <w:b/>
          <w:bCs/>
          <w:i/>
          <w:iCs/>
        </w:rPr>
        <w:t xml:space="preserve">: </w:t>
      </w:r>
      <w:r w:rsidRPr="004F0D45">
        <w:rPr>
          <w:b/>
          <w:bCs/>
          <w:i/>
          <w:iCs/>
        </w:rPr>
        <w:fldChar w:fldCharType="begin"/>
      </w:r>
      <w:r w:rsidRPr="004F0D45">
        <w:rPr>
          <w:b/>
          <w:bCs/>
          <w:i/>
          <w:iCs/>
        </w:rPr>
        <w:instrText xml:space="preserve"> REF _Ref118365578 \h </w:instrText>
      </w:r>
      <w:r w:rsidR="00397FE2" w:rsidRPr="004F0D45">
        <w:rPr>
          <w:b/>
          <w:bCs/>
          <w:i/>
          <w:iCs/>
        </w:rPr>
        <w:instrText xml:space="preserve"> \* MERGEFORMAT </w:instrText>
      </w:r>
      <w:r w:rsidRPr="004F0D45">
        <w:rPr>
          <w:b/>
          <w:bCs/>
          <w:i/>
          <w:iCs/>
        </w:rPr>
      </w:r>
      <w:r w:rsidRPr="004F0D45">
        <w:rPr>
          <w:b/>
          <w:bCs/>
          <w:i/>
          <w:iCs/>
        </w:rPr>
        <w:fldChar w:fldCharType="separate"/>
      </w:r>
      <w:r w:rsidR="00F230AB" w:rsidRPr="004F0D45">
        <w:rPr>
          <w:b/>
          <w:bCs/>
          <w:i/>
          <w:iCs/>
        </w:rPr>
        <w:t xml:space="preserve">VRB-interleaving is not supported by FDRA Type-0 and is mostly incompatible with SBFD by FDRA Type-1 allocation, since PRB segments likely overlap with RBs that are not available to downlink. </w:t>
      </w:r>
      <w:r w:rsidRPr="004F0D45">
        <w:rPr>
          <w:b/>
          <w:bCs/>
          <w:i/>
          <w:iCs/>
        </w:rPr>
        <w:fldChar w:fldCharType="end"/>
      </w:r>
    </w:p>
    <w:p w14:paraId="53C0FE30" w14:textId="706AF6D8" w:rsidR="00087168" w:rsidRPr="004F0D45" w:rsidRDefault="00087168" w:rsidP="005A07CF">
      <w:pPr>
        <w:shd w:val="clear" w:color="auto" w:fill="FFFFFF"/>
        <w:spacing w:after="60"/>
        <w:jc w:val="both"/>
        <w:rPr>
          <w:b/>
          <w:bCs/>
          <w:i/>
          <w:iCs/>
        </w:rPr>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F230AB" w:rsidRPr="004F0D45">
        <w:rPr>
          <w:b/>
          <w:bCs/>
          <w:i/>
          <w:iCs/>
          <w:noProof/>
        </w:rPr>
        <w:t>8</w:t>
      </w:r>
      <w:r w:rsidRPr="004F0D45">
        <w:fldChar w:fldCharType="end"/>
      </w:r>
      <w:r w:rsidRPr="004F0D45">
        <w:rPr>
          <w:b/>
          <w:bCs/>
          <w:i/>
          <w:iCs/>
        </w:rPr>
        <w:t xml:space="preserve">: </w:t>
      </w:r>
      <w:r w:rsidR="00C71EB7" w:rsidRPr="004F0D45">
        <w:rPr>
          <w:b/>
          <w:bCs/>
          <w:i/>
          <w:iCs/>
        </w:rPr>
        <w:fldChar w:fldCharType="begin"/>
      </w:r>
      <w:r w:rsidR="00C71EB7" w:rsidRPr="004F0D45">
        <w:rPr>
          <w:b/>
          <w:bCs/>
          <w:i/>
          <w:iCs/>
        </w:rPr>
        <w:instrText xml:space="preserve"> REF _Ref134108404 \h  \* MERGEFORMAT </w:instrText>
      </w:r>
      <w:r w:rsidR="00C71EB7" w:rsidRPr="004F0D45">
        <w:rPr>
          <w:b/>
          <w:bCs/>
          <w:i/>
          <w:iCs/>
        </w:rPr>
      </w:r>
      <w:r w:rsidR="00C71EB7" w:rsidRPr="004F0D45">
        <w:rPr>
          <w:b/>
          <w:bCs/>
          <w:i/>
          <w:iCs/>
        </w:rPr>
        <w:fldChar w:fldCharType="separate"/>
      </w:r>
      <w:r w:rsidR="00F230AB" w:rsidRPr="004F0D45">
        <w:rPr>
          <w:b/>
          <w:bCs/>
          <w:i/>
          <w:iCs/>
        </w:rPr>
        <w:t>For RB allocation across non-contiguous DL subbands with reindexed VRBs/PRBs, not all the bits of the FDRA bit field in the scheduling DCI are required for resource allocation</w:t>
      </w:r>
      <w:r w:rsidR="00C71EB7" w:rsidRPr="004F0D45">
        <w:rPr>
          <w:b/>
          <w:bCs/>
          <w:i/>
          <w:iCs/>
        </w:rPr>
        <w:fldChar w:fldCharType="end"/>
      </w:r>
    </w:p>
    <w:p w14:paraId="5AF00411" w14:textId="283C898D" w:rsidR="00114035" w:rsidRPr="004F0D45" w:rsidRDefault="00114035" w:rsidP="005A07CF">
      <w:pPr>
        <w:shd w:val="clear" w:color="auto" w:fill="FFFFFF"/>
        <w:spacing w:after="60"/>
        <w:jc w:val="both"/>
        <w:rPr>
          <w:b/>
          <w:bCs/>
          <w:i/>
          <w:iCs/>
        </w:rPr>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F230AB" w:rsidRPr="004F0D45">
        <w:rPr>
          <w:b/>
          <w:bCs/>
          <w:i/>
          <w:iCs/>
          <w:noProof/>
        </w:rPr>
        <w:t>9</w:t>
      </w:r>
      <w:r w:rsidRPr="004F0D45">
        <w:fldChar w:fldCharType="end"/>
      </w:r>
      <w:r w:rsidRPr="004F0D45">
        <w:rPr>
          <w:b/>
          <w:bCs/>
          <w:i/>
          <w:iCs/>
        </w:rPr>
        <w:t>:</w:t>
      </w:r>
      <w:r w:rsidR="000F56B3" w:rsidRPr="004F0D45">
        <w:rPr>
          <w:b/>
          <w:bCs/>
          <w:i/>
          <w:iCs/>
        </w:rPr>
        <w:t xml:space="preserve"> </w:t>
      </w:r>
      <w:r w:rsidR="00BA167C" w:rsidRPr="004F0D45">
        <w:rPr>
          <w:b/>
          <w:bCs/>
          <w:i/>
          <w:iCs/>
        </w:rPr>
        <w:fldChar w:fldCharType="begin"/>
      </w:r>
      <w:r w:rsidR="00BA167C" w:rsidRPr="004F0D45">
        <w:rPr>
          <w:b/>
          <w:bCs/>
          <w:i/>
          <w:iCs/>
        </w:rPr>
        <w:instrText xml:space="preserve"> REF _Ref131674288 \h </w:instrText>
      </w:r>
      <w:r w:rsidR="004F0D45">
        <w:rPr>
          <w:b/>
          <w:bCs/>
          <w:i/>
          <w:iCs/>
        </w:rPr>
        <w:instrText xml:space="preserve"> \* MERGEFORMAT </w:instrText>
      </w:r>
      <w:r w:rsidR="00BA167C" w:rsidRPr="004F0D45">
        <w:rPr>
          <w:b/>
          <w:bCs/>
          <w:i/>
          <w:iCs/>
        </w:rPr>
      </w:r>
      <w:r w:rsidR="00BA167C" w:rsidRPr="004F0D45">
        <w:rPr>
          <w:b/>
          <w:bCs/>
          <w:i/>
          <w:iCs/>
        </w:rPr>
        <w:fldChar w:fldCharType="separate"/>
      </w:r>
      <w:r w:rsidR="00F230AB" w:rsidRPr="004F0D45">
        <w:rPr>
          <w:b/>
          <w:bCs/>
          <w:i/>
          <w:iCs/>
        </w:rPr>
        <w:t>When using PRG bundling for precoding in PDSCH, some RBs within a PRG may be unavailable due to partial overlap with UL-subband (and/or any guard band) leading to resource fragmentation.</w:t>
      </w:r>
      <w:r w:rsidR="00BA167C" w:rsidRPr="004F0D45">
        <w:rPr>
          <w:b/>
          <w:bCs/>
          <w:i/>
          <w:iCs/>
        </w:rPr>
        <w:fldChar w:fldCharType="end"/>
      </w:r>
    </w:p>
    <w:p w14:paraId="1CE21818" w14:textId="53FDD560" w:rsidR="000F56B3" w:rsidRPr="004F0D45" w:rsidRDefault="000F56B3" w:rsidP="005A07CF">
      <w:pPr>
        <w:shd w:val="clear" w:color="auto" w:fill="FFFFFF"/>
        <w:spacing w:after="60"/>
        <w:jc w:val="both"/>
        <w:rPr>
          <w:b/>
          <w:bCs/>
          <w:i/>
          <w:iCs/>
        </w:rPr>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F230AB" w:rsidRPr="004F0D45">
        <w:rPr>
          <w:b/>
          <w:bCs/>
          <w:i/>
          <w:iCs/>
          <w:noProof/>
        </w:rPr>
        <w:t>10</w:t>
      </w:r>
      <w:r w:rsidRPr="004F0D45">
        <w:fldChar w:fldCharType="end"/>
      </w:r>
      <w:r w:rsidRPr="004F0D45">
        <w:rPr>
          <w:b/>
          <w:bCs/>
          <w:i/>
          <w:iCs/>
        </w:rPr>
        <w:t xml:space="preserve">: </w:t>
      </w:r>
      <w:r w:rsidR="00BC78D4" w:rsidRPr="004F0D45">
        <w:rPr>
          <w:b/>
          <w:bCs/>
          <w:i/>
          <w:iCs/>
        </w:rPr>
        <w:fldChar w:fldCharType="begin"/>
      </w:r>
      <w:r w:rsidR="00BC78D4" w:rsidRPr="004F0D45">
        <w:rPr>
          <w:b/>
          <w:bCs/>
          <w:i/>
          <w:iCs/>
        </w:rPr>
        <w:instrText xml:space="preserve"> REF _Ref131537289 \h </w:instrText>
      </w:r>
      <w:r w:rsidR="005D664D" w:rsidRPr="004F0D45">
        <w:rPr>
          <w:b/>
          <w:bCs/>
          <w:i/>
          <w:iCs/>
        </w:rPr>
        <w:instrText xml:space="preserve"> \* MERGEFORMAT </w:instrText>
      </w:r>
      <w:r w:rsidR="00BC78D4" w:rsidRPr="004F0D45">
        <w:rPr>
          <w:b/>
          <w:bCs/>
          <w:i/>
          <w:iCs/>
        </w:rPr>
      </w:r>
      <w:r w:rsidR="00BC78D4" w:rsidRPr="004F0D45">
        <w:rPr>
          <w:b/>
          <w:bCs/>
          <w:i/>
          <w:iCs/>
        </w:rPr>
        <w:fldChar w:fldCharType="separate"/>
      </w:r>
      <w:r w:rsidR="00F230AB" w:rsidRPr="004F0D45">
        <w:rPr>
          <w:b/>
          <w:bCs/>
          <w:i/>
          <w:iCs/>
        </w:rPr>
        <w:t>Wideband precoding cannot be applied when PDSCH allocation is across non-contiguous DL subbands.</w:t>
      </w:r>
      <w:r w:rsidR="00BC78D4" w:rsidRPr="004F0D45">
        <w:rPr>
          <w:b/>
          <w:bCs/>
          <w:i/>
          <w:iCs/>
        </w:rPr>
        <w:fldChar w:fldCharType="end"/>
      </w:r>
    </w:p>
    <w:p w14:paraId="0E136DB2" w14:textId="3575A790" w:rsidR="00E22D75" w:rsidRPr="004F0D45" w:rsidRDefault="00E22D75" w:rsidP="005A07CF">
      <w:pPr>
        <w:shd w:val="clear" w:color="auto" w:fill="FFFFFF"/>
        <w:spacing w:after="60"/>
        <w:jc w:val="both"/>
        <w:rPr>
          <w:b/>
          <w:bCs/>
          <w:i/>
          <w:iCs/>
        </w:rPr>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F230AB" w:rsidRPr="004F0D45">
        <w:rPr>
          <w:b/>
          <w:bCs/>
          <w:i/>
          <w:iCs/>
          <w:noProof/>
        </w:rPr>
        <w:t>11</w:t>
      </w:r>
      <w:r w:rsidRPr="004F0D45">
        <w:fldChar w:fldCharType="end"/>
      </w:r>
      <w:r w:rsidRPr="004F0D45">
        <w:rPr>
          <w:b/>
          <w:bCs/>
          <w:i/>
          <w:iCs/>
        </w:rPr>
        <w:t xml:space="preserve">: </w:t>
      </w:r>
      <w:r w:rsidR="00621378" w:rsidRPr="004F0D45">
        <w:rPr>
          <w:b/>
          <w:bCs/>
          <w:i/>
          <w:iCs/>
        </w:rPr>
        <w:fldChar w:fldCharType="begin"/>
      </w:r>
      <w:r w:rsidR="00621378" w:rsidRPr="004F0D45">
        <w:rPr>
          <w:b/>
          <w:bCs/>
          <w:i/>
          <w:iCs/>
        </w:rPr>
        <w:instrText xml:space="preserve"> REF _Ref134108506 \h </w:instrText>
      </w:r>
      <w:r w:rsidR="004F0D45">
        <w:rPr>
          <w:b/>
          <w:bCs/>
          <w:i/>
          <w:iCs/>
        </w:rPr>
        <w:instrText xml:space="preserve"> \* MERGEFORMAT </w:instrText>
      </w:r>
      <w:r w:rsidR="00621378" w:rsidRPr="004F0D45">
        <w:rPr>
          <w:b/>
          <w:bCs/>
          <w:i/>
          <w:iCs/>
        </w:rPr>
      </w:r>
      <w:r w:rsidR="00621378" w:rsidRPr="004F0D45">
        <w:rPr>
          <w:b/>
          <w:bCs/>
          <w:i/>
          <w:iCs/>
        </w:rPr>
        <w:fldChar w:fldCharType="separate"/>
      </w:r>
      <w:r w:rsidR="00F230AB" w:rsidRPr="004F0D45">
        <w:rPr>
          <w:b/>
          <w:bCs/>
          <w:i/>
          <w:iCs/>
        </w:rPr>
        <w:t>A new threshold must be defined for the minimum RB size needed to select wideband precoding for dynamic PRG bundling.</w:t>
      </w:r>
      <w:r w:rsidR="00621378" w:rsidRPr="004F0D45">
        <w:rPr>
          <w:b/>
          <w:bCs/>
          <w:i/>
          <w:iCs/>
        </w:rPr>
        <w:fldChar w:fldCharType="end"/>
      </w:r>
    </w:p>
    <w:p w14:paraId="054F2568" w14:textId="7DAA01C5" w:rsidR="000D5EAF" w:rsidRPr="004F0D45" w:rsidRDefault="000F56B3" w:rsidP="005A07CF">
      <w:pPr>
        <w:shd w:val="clear" w:color="auto" w:fill="FFFFFF"/>
        <w:spacing w:after="60"/>
        <w:jc w:val="both"/>
        <w:rPr>
          <w:b/>
          <w:bCs/>
          <w:i/>
          <w:iCs/>
        </w:rPr>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F230AB" w:rsidRPr="004F0D45">
        <w:rPr>
          <w:b/>
          <w:bCs/>
          <w:i/>
          <w:iCs/>
          <w:noProof/>
        </w:rPr>
        <w:t>12</w:t>
      </w:r>
      <w:r w:rsidRPr="004F0D45">
        <w:fldChar w:fldCharType="end"/>
      </w:r>
      <w:r w:rsidRPr="004F0D45">
        <w:rPr>
          <w:b/>
          <w:bCs/>
          <w:i/>
          <w:iCs/>
        </w:rPr>
        <w:t xml:space="preserve">: </w:t>
      </w:r>
      <w:r w:rsidR="000D5EAF" w:rsidRPr="004F0D45">
        <w:rPr>
          <w:b/>
          <w:bCs/>
          <w:i/>
          <w:iCs/>
        </w:rPr>
        <w:fldChar w:fldCharType="begin"/>
      </w:r>
      <w:r w:rsidR="000D5EAF" w:rsidRPr="004F0D45">
        <w:rPr>
          <w:b/>
          <w:bCs/>
          <w:i/>
          <w:iCs/>
        </w:rPr>
        <w:instrText xml:space="preserve"> REF _Ref131596464 \h </w:instrText>
      </w:r>
      <w:r w:rsidR="004F0D45">
        <w:rPr>
          <w:b/>
          <w:bCs/>
          <w:i/>
          <w:iCs/>
        </w:rPr>
        <w:instrText xml:space="preserve"> \* MERGEFORMAT </w:instrText>
      </w:r>
      <w:r w:rsidR="000D5EAF" w:rsidRPr="004F0D45">
        <w:rPr>
          <w:b/>
          <w:bCs/>
          <w:i/>
          <w:iCs/>
        </w:rPr>
      </w:r>
      <w:r w:rsidR="000D5EAF" w:rsidRPr="004F0D45">
        <w:rPr>
          <w:b/>
          <w:bCs/>
          <w:i/>
          <w:iCs/>
        </w:rPr>
        <w:fldChar w:fldCharType="separate"/>
      </w:r>
      <w:r w:rsidR="00F230AB" w:rsidRPr="004F0D45">
        <w:rPr>
          <w:b/>
          <w:bCs/>
          <w:i/>
          <w:iCs/>
        </w:rPr>
        <w:t>Option 1 of CSI-RS resource configuration requires less change to implementation/signalling</w:t>
      </w:r>
      <w:r w:rsidR="000D5EAF" w:rsidRPr="004F0D45">
        <w:rPr>
          <w:b/>
          <w:bCs/>
          <w:i/>
          <w:iCs/>
        </w:rPr>
        <w:fldChar w:fldCharType="end"/>
      </w:r>
    </w:p>
    <w:p w14:paraId="1E9A2E33" w14:textId="23574C1D" w:rsidR="00342B58" w:rsidRPr="004F0D45" w:rsidRDefault="00342B58" w:rsidP="005A07CF">
      <w:pPr>
        <w:shd w:val="clear" w:color="auto" w:fill="FFFFFF"/>
        <w:spacing w:after="60"/>
        <w:jc w:val="both"/>
        <w:rPr>
          <w:b/>
          <w:bCs/>
          <w:i/>
          <w:iCs/>
        </w:rPr>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F230AB" w:rsidRPr="004F0D45">
        <w:rPr>
          <w:b/>
          <w:bCs/>
          <w:i/>
          <w:iCs/>
          <w:noProof/>
        </w:rPr>
        <w:t>13</w:t>
      </w:r>
      <w:r w:rsidRPr="004F0D45">
        <w:fldChar w:fldCharType="end"/>
      </w:r>
      <w:r w:rsidRPr="004F0D45">
        <w:rPr>
          <w:b/>
          <w:bCs/>
          <w:i/>
          <w:iCs/>
        </w:rPr>
        <w:t xml:space="preserve">: </w:t>
      </w:r>
      <w:r w:rsidR="00BC78D4" w:rsidRPr="004F0D45">
        <w:rPr>
          <w:b/>
          <w:bCs/>
          <w:i/>
          <w:iCs/>
        </w:rPr>
        <w:fldChar w:fldCharType="begin"/>
      </w:r>
      <w:r w:rsidR="00BC78D4" w:rsidRPr="004F0D45">
        <w:rPr>
          <w:b/>
          <w:bCs/>
          <w:i/>
          <w:iCs/>
        </w:rPr>
        <w:instrText xml:space="preserve"> REF _Ref131537355 \h </w:instrText>
      </w:r>
      <w:r w:rsidR="005D664D" w:rsidRPr="004F0D45">
        <w:rPr>
          <w:b/>
          <w:bCs/>
          <w:i/>
          <w:iCs/>
        </w:rPr>
        <w:instrText xml:space="preserve"> \* MERGEFORMAT </w:instrText>
      </w:r>
      <w:r w:rsidR="00BC78D4" w:rsidRPr="004F0D45">
        <w:rPr>
          <w:b/>
          <w:bCs/>
          <w:i/>
          <w:iCs/>
        </w:rPr>
      </w:r>
      <w:r w:rsidR="00BC78D4" w:rsidRPr="004F0D45">
        <w:rPr>
          <w:b/>
          <w:bCs/>
          <w:i/>
          <w:iCs/>
        </w:rPr>
        <w:fldChar w:fldCharType="separate"/>
      </w:r>
      <w:r w:rsidR="00F230AB" w:rsidRPr="004F0D45">
        <w:rPr>
          <w:b/>
          <w:bCs/>
          <w:i/>
          <w:iCs/>
        </w:rPr>
        <w:t>For periodic/semi-persistent CSI reporting, the existing specification can support separate CSI reporting for SBFD symbols and non-SBFD symbols.</w:t>
      </w:r>
      <w:r w:rsidR="00BC78D4" w:rsidRPr="004F0D45">
        <w:rPr>
          <w:b/>
          <w:bCs/>
          <w:i/>
          <w:iCs/>
        </w:rPr>
        <w:fldChar w:fldCharType="end"/>
      </w:r>
      <w:r w:rsidRPr="004F0D45">
        <w:rPr>
          <w:b/>
          <w:bCs/>
          <w:i/>
          <w:iCs/>
        </w:rPr>
        <w:t>.</w:t>
      </w:r>
    </w:p>
    <w:p w14:paraId="48E1EC8F" w14:textId="1A981035" w:rsidR="004C4E4F" w:rsidRPr="004F0D45" w:rsidRDefault="004C4E4F" w:rsidP="005A07CF">
      <w:pPr>
        <w:shd w:val="clear" w:color="auto" w:fill="FFFFFF"/>
        <w:spacing w:after="60"/>
        <w:jc w:val="both"/>
        <w:rPr>
          <w:b/>
          <w:bCs/>
          <w:i/>
          <w:iCs/>
        </w:rPr>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F230AB" w:rsidRPr="004F0D45">
        <w:rPr>
          <w:b/>
          <w:bCs/>
          <w:i/>
          <w:iCs/>
          <w:noProof/>
        </w:rPr>
        <w:t>14</w:t>
      </w:r>
      <w:r w:rsidRPr="004F0D45">
        <w:fldChar w:fldCharType="end"/>
      </w:r>
      <w:r w:rsidRPr="004F0D45">
        <w:rPr>
          <w:b/>
          <w:bCs/>
          <w:i/>
          <w:iCs/>
        </w:rPr>
        <w:t xml:space="preserve">: </w:t>
      </w:r>
      <w:r w:rsidR="007E0F89" w:rsidRPr="004F0D45">
        <w:rPr>
          <w:b/>
          <w:bCs/>
          <w:i/>
          <w:iCs/>
        </w:rPr>
        <w:fldChar w:fldCharType="begin"/>
      </w:r>
      <w:r w:rsidR="007E0F89" w:rsidRPr="004F0D45">
        <w:rPr>
          <w:b/>
          <w:bCs/>
          <w:i/>
          <w:iCs/>
        </w:rPr>
        <w:instrText xml:space="preserve"> REF _Ref127456895 \h </w:instrText>
      </w:r>
      <w:r w:rsidR="00397FE2" w:rsidRPr="004F0D45">
        <w:rPr>
          <w:b/>
          <w:bCs/>
          <w:i/>
          <w:iCs/>
        </w:rPr>
        <w:instrText xml:space="preserve"> \* MERGEFORMAT </w:instrText>
      </w:r>
      <w:r w:rsidR="007E0F89" w:rsidRPr="004F0D45">
        <w:rPr>
          <w:b/>
          <w:bCs/>
          <w:i/>
          <w:iCs/>
        </w:rPr>
      </w:r>
      <w:r w:rsidR="007E0F89" w:rsidRPr="004F0D45">
        <w:rPr>
          <w:b/>
          <w:bCs/>
          <w:i/>
          <w:iCs/>
        </w:rPr>
        <w:fldChar w:fldCharType="separate"/>
      </w:r>
      <w:r w:rsidR="00F230AB" w:rsidRPr="004F0D45">
        <w:rPr>
          <w:b/>
          <w:bCs/>
          <w:i/>
          <w:iCs/>
        </w:rPr>
        <w:t>Configuring a single MCS for multi-slot transmissions in SBFD systems will negatively impact system performance since it has two slot types with different interference levels</w:t>
      </w:r>
      <w:r w:rsidR="007E0F89" w:rsidRPr="004F0D45">
        <w:rPr>
          <w:b/>
          <w:bCs/>
          <w:i/>
          <w:iCs/>
        </w:rPr>
        <w:fldChar w:fldCharType="end"/>
      </w:r>
    </w:p>
    <w:p w14:paraId="06A829C0" w14:textId="13E19234" w:rsidR="005C5169" w:rsidRPr="004F0D45" w:rsidRDefault="008E6302" w:rsidP="005A07CF">
      <w:pPr>
        <w:spacing w:after="60"/>
        <w:jc w:val="both"/>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F230AB" w:rsidRPr="004F0D45">
        <w:rPr>
          <w:b/>
          <w:bCs/>
          <w:i/>
          <w:iCs/>
          <w:noProof/>
        </w:rPr>
        <w:t>15</w:t>
      </w:r>
      <w:r w:rsidRPr="004F0D45">
        <w:fldChar w:fldCharType="end"/>
      </w:r>
      <w:r w:rsidRPr="004F0D45">
        <w:rPr>
          <w:b/>
          <w:bCs/>
          <w:i/>
          <w:iCs/>
        </w:rPr>
        <w:t>:</w:t>
      </w:r>
      <w:r w:rsidR="005C5169" w:rsidRPr="004F0D45">
        <w:rPr>
          <w:b/>
          <w:bCs/>
          <w:i/>
          <w:iCs/>
        </w:rPr>
        <w:t xml:space="preserve"> </w:t>
      </w:r>
      <w:r w:rsidR="00163310" w:rsidRPr="004F0D45">
        <w:rPr>
          <w:b/>
          <w:bCs/>
          <w:i/>
          <w:iCs/>
        </w:rPr>
        <w:fldChar w:fldCharType="begin"/>
      </w:r>
      <w:r w:rsidR="00163310" w:rsidRPr="004F0D45">
        <w:rPr>
          <w:b/>
          <w:bCs/>
          <w:i/>
          <w:iCs/>
        </w:rPr>
        <w:instrText xml:space="preserve"> REF _Ref127193464 \h </w:instrText>
      </w:r>
      <w:r w:rsidR="00397FE2" w:rsidRPr="004F0D45">
        <w:rPr>
          <w:b/>
          <w:bCs/>
          <w:i/>
          <w:iCs/>
        </w:rPr>
        <w:instrText xml:space="preserve"> \* MERGEFORMAT </w:instrText>
      </w:r>
      <w:r w:rsidR="00163310" w:rsidRPr="004F0D45">
        <w:rPr>
          <w:b/>
          <w:bCs/>
          <w:i/>
          <w:iCs/>
        </w:rPr>
      </w:r>
      <w:r w:rsidR="00163310" w:rsidRPr="004F0D45">
        <w:rPr>
          <w:b/>
          <w:bCs/>
          <w:i/>
          <w:iCs/>
        </w:rPr>
        <w:fldChar w:fldCharType="separate"/>
      </w:r>
      <w:r w:rsidR="00F230AB" w:rsidRPr="004F0D45">
        <w:rPr>
          <w:b/>
          <w:bCs/>
          <w:i/>
          <w:iCs/>
        </w:rPr>
        <w:t>For multi-slot UL transmissions, a single FDRA is configured for all UL slots. This may impact flexibility in resource allocation in SBFD since it has two types of slots with different bandwidths.</w:t>
      </w:r>
      <w:r w:rsidR="00163310" w:rsidRPr="004F0D45">
        <w:rPr>
          <w:b/>
          <w:bCs/>
          <w:i/>
          <w:iCs/>
        </w:rPr>
        <w:fldChar w:fldCharType="end"/>
      </w:r>
    </w:p>
    <w:p w14:paraId="32E50697" w14:textId="0480A2D0" w:rsidR="008D669D" w:rsidRPr="004F0D45" w:rsidRDefault="008D669D" w:rsidP="005A07CF">
      <w:pPr>
        <w:shd w:val="clear" w:color="auto" w:fill="FFFFFF"/>
        <w:spacing w:after="60"/>
        <w:jc w:val="both"/>
        <w:rPr>
          <w:b/>
          <w:bCs/>
          <w:i/>
          <w:iCs/>
        </w:rPr>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F230AB" w:rsidRPr="004F0D45">
        <w:rPr>
          <w:b/>
          <w:bCs/>
          <w:i/>
          <w:iCs/>
          <w:noProof/>
        </w:rPr>
        <w:t>16</w:t>
      </w:r>
      <w:r w:rsidRPr="004F0D45">
        <w:fldChar w:fldCharType="end"/>
      </w:r>
      <w:r w:rsidRPr="004F0D45">
        <w:t xml:space="preserve">: </w:t>
      </w:r>
      <w:r w:rsidR="00C50046" w:rsidRPr="004F0D45">
        <w:rPr>
          <w:b/>
          <w:bCs/>
          <w:i/>
          <w:iCs/>
          <w:lang w:eastAsia="en-GB"/>
        </w:rPr>
        <w:fldChar w:fldCharType="begin"/>
      </w:r>
      <w:r w:rsidR="00C50046" w:rsidRPr="004F0D45">
        <w:instrText xml:space="preserve"> REF _Ref118365612 \h </w:instrText>
      </w:r>
      <w:r w:rsidR="00397FE2" w:rsidRPr="004F0D45">
        <w:rPr>
          <w:b/>
          <w:bCs/>
          <w:i/>
          <w:iCs/>
          <w:lang w:eastAsia="en-GB"/>
        </w:rPr>
        <w:instrText xml:space="preserve"> \* MERGEFORMAT </w:instrText>
      </w:r>
      <w:r w:rsidR="00C50046" w:rsidRPr="004F0D45">
        <w:rPr>
          <w:b/>
          <w:bCs/>
          <w:i/>
          <w:iCs/>
          <w:lang w:eastAsia="en-GB"/>
        </w:rPr>
      </w:r>
      <w:r w:rsidR="00C50046" w:rsidRPr="004F0D45">
        <w:rPr>
          <w:b/>
          <w:bCs/>
          <w:i/>
          <w:iCs/>
          <w:lang w:eastAsia="en-GB"/>
        </w:rPr>
        <w:fldChar w:fldCharType="separate"/>
      </w:r>
      <w:r w:rsidR="00F230AB" w:rsidRPr="004F0D45">
        <w:rPr>
          <w:b/>
          <w:bCs/>
          <w:i/>
          <w:iCs/>
          <w:lang w:eastAsia="en-GB"/>
        </w:rPr>
        <w:t>When frequency hopping is enabled for PUSCH/PUCCH/SRS transmission in SBFD, the resource allocation with frequency hopping may not be confined within the UL subband of SBFD partitioned slots/symbols</w:t>
      </w:r>
      <w:r w:rsidR="00F230AB" w:rsidRPr="004F0D45">
        <w:rPr>
          <w:b/>
          <w:bCs/>
          <w:i/>
          <w:iCs/>
        </w:rPr>
        <w:t>.</w:t>
      </w:r>
      <w:r w:rsidR="00C50046" w:rsidRPr="004F0D45">
        <w:rPr>
          <w:b/>
          <w:bCs/>
          <w:i/>
          <w:iCs/>
          <w:lang w:eastAsia="en-GB"/>
        </w:rPr>
        <w:fldChar w:fldCharType="end"/>
      </w:r>
    </w:p>
    <w:p w14:paraId="012ADD43" w14:textId="191D928A" w:rsidR="008D669D" w:rsidRPr="004F0D45" w:rsidRDefault="008D669D" w:rsidP="005A07CF">
      <w:pPr>
        <w:shd w:val="clear" w:color="auto" w:fill="FFFFFF"/>
        <w:spacing w:after="60"/>
        <w:jc w:val="both"/>
        <w:rPr>
          <w:b/>
          <w:bCs/>
          <w:i/>
          <w:iCs/>
        </w:rPr>
      </w:pPr>
      <w:r w:rsidRPr="004F0D45">
        <w:rPr>
          <w:b/>
          <w:bCs/>
          <w:i/>
          <w:iCs/>
        </w:rPr>
        <w:lastRenderedPageBreak/>
        <w:t xml:space="preserve">Observation </w:t>
      </w:r>
      <w:r w:rsidRPr="004F0D45">
        <w:fldChar w:fldCharType="begin"/>
      </w:r>
      <w:r w:rsidRPr="004F0D45">
        <w:rPr>
          <w:b/>
          <w:bCs/>
          <w:i/>
          <w:iCs/>
        </w:rPr>
        <w:instrText xml:space="preserve"> SEQ Observation \* ARABIC </w:instrText>
      </w:r>
      <w:r w:rsidRPr="004F0D45">
        <w:fldChar w:fldCharType="separate"/>
      </w:r>
      <w:r w:rsidR="00F230AB" w:rsidRPr="004F0D45">
        <w:rPr>
          <w:b/>
          <w:bCs/>
          <w:i/>
          <w:iCs/>
          <w:noProof/>
        </w:rPr>
        <w:t>17</w:t>
      </w:r>
      <w:r w:rsidRPr="004F0D45">
        <w:fldChar w:fldCharType="end"/>
      </w:r>
      <w:r w:rsidRPr="004F0D45">
        <w:t xml:space="preserve">: </w:t>
      </w:r>
      <w:r w:rsidR="00C50046" w:rsidRPr="004F0D45">
        <w:rPr>
          <w:b/>
          <w:bCs/>
          <w:i/>
          <w:iCs/>
        </w:rPr>
        <w:fldChar w:fldCharType="begin"/>
      </w:r>
      <w:r w:rsidR="00C50046" w:rsidRPr="004F0D45">
        <w:instrText xml:space="preserve"> REF _Ref118365661 \h </w:instrText>
      </w:r>
      <w:r w:rsidR="00397FE2" w:rsidRPr="004F0D45">
        <w:rPr>
          <w:b/>
          <w:bCs/>
          <w:i/>
          <w:iCs/>
        </w:rPr>
        <w:instrText xml:space="preserve"> \* MERGEFORMAT </w:instrText>
      </w:r>
      <w:r w:rsidR="00C50046" w:rsidRPr="004F0D45">
        <w:rPr>
          <w:b/>
          <w:bCs/>
          <w:i/>
          <w:iCs/>
        </w:rPr>
      </w:r>
      <w:r w:rsidR="00C50046" w:rsidRPr="004F0D45">
        <w:rPr>
          <w:b/>
          <w:bCs/>
          <w:i/>
          <w:iCs/>
        </w:rPr>
        <w:fldChar w:fldCharType="separate"/>
      </w:r>
      <w:r w:rsidR="00F230AB" w:rsidRPr="004F0D45">
        <w:rPr>
          <w:b/>
          <w:bCs/>
          <w:i/>
          <w:iCs/>
        </w:rPr>
        <w:t xml:space="preserve">For </w:t>
      </w:r>
      <w:r w:rsidR="00F230AB" w:rsidRPr="004F0D45">
        <w:rPr>
          <w:b/>
          <w:bCs/>
          <w:i/>
          <w:iCs/>
          <w:lang w:eastAsia="en-GB"/>
        </w:rPr>
        <w:t>CG PUSCH transmission in SBFD systems PUSCH fragmentation will occur on non-SBFD slots since the frequency domain resource allocation on SBFD slots is at the centre of the UL BWP</w:t>
      </w:r>
      <w:r w:rsidR="00F230AB" w:rsidRPr="004F0D45">
        <w:rPr>
          <w:b/>
          <w:bCs/>
          <w:i/>
          <w:iCs/>
        </w:rPr>
        <w:t>.</w:t>
      </w:r>
      <w:r w:rsidR="00C50046" w:rsidRPr="004F0D45">
        <w:rPr>
          <w:b/>
          <w:bCs/>
          <w:i/>
          <w:iCs/>
        </w:rPr>
        <w:fldChar w:fldCharType="end"/>
      </w:r>
    </w:p>
    <w:p w14:paraId="72715BFE" w14:textId="7E12E730" w:rsidR="00BE608B" w:rsidRPr="004F0D45" w:rsidRDefault="00BE608B" w:rsidP="005A07CF">
      <w:pPr>
        <w:shd w:val="clear" w:color="auto" w:fill="FFFFFF"/>
        <w:spacing w:after="60"/>
        <w:jc w:val="both"/>
        <w:rPr>
          <w:b/>
          <w:bCs/>
          <w:i/>
          <w:iCs/>
        </w:rPr>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F230AB" w:rsidRPr="004F0D45">
        <w:rPr>
          <w:b/>
          <w:bCs/>
          <w:i/>
          <w:iCs/>
          <w:noProof/>
        </w:rPr>
        <w:t>18</w:t>
      </w:r>
      <w:r w:rsidRPr="004F0D45">
        <w:fldChar w:fldCharType="end"/>
      </w:r>
      <w:r w:rsidRPr="004F0D45">
        <w:t xml:space="preserve">: </w:t>
      </w:r>
      <w:r w:rsidR="00847477" w:rsidRPr="004F0D45">
        <w:rPr>
          <w:rFonts w:eastAsiaTheme="majorEastAsia"/>
          <w:b/>
          <w:bCs/>
          <w:i/>
          <w:iCs/>
          <w:color w:val="000000" w:themeColor="text1"/>
        </w:rPr>
        <w:fldChar w:fldCharType="begin"/>
      </w:r>
      <w:r w:rsidR="00847477" w:rsidRPr="004F0D45">
        <w:instrText xml:space="preserve"> REF _Ref134716809 \h </w:instrText>
      </w:r>
      <w:r w:rsidR="004F0D45">
        <w:rPr>
          <w:rFonts w:eastAsiaTheme="majorEastAsia"/>
          <w:b/>
          <w:bCs/>
          <w:i/>
          <w:iCs/>
          <w:color w:val="000000" w:themeColor="text1"/>
        </w:rPr>
        <w:instrText xml:space="preserve"> \* MERGEFORMAT </w:instrText>
      </w:r>
      <w:r w:rsidR="00847477" w:rsidRPr="004F0D45">
        <w:rPr>
          <w:rFonts w:eastAsiaTheme="majorEastAsia"/>
          <w:b/>
          <w:bCs/>
          <w:i/>
          <w:iCs/>
          <w:color w:val="000000" w:themeColor="text1"/>
        </w:rPr>
      </w:r>
      <w:r w:rsidR="00847477" w:rsidRPr="004F0D45">
        <w:rPr>
          <w:rFonts w:eastAsiaTheme="majorEastAsia"/>
          <w:b/>
          <w:bCs/>
          <w:i/>
          <w:iCs/>
          <w:color w:val="000000" w:themeColor="text1"/>
        </w:rPr>
        <w:fldChar w:fldCharType="separate"/>
      </w:r>
      <w:r w:rsidR="00F230AB" w:rsidRPr="004F0D45">
        <w:rPr>
          <w:rFonts w:eastAsiaTheme="majorEastAsia"/>
          <w:b/>
          <w:bCs/>
          <w:i/>
          <w:iCs/>
          <w:color w:val="000000" w:themeColor="text1"/>
        </w:rPr>
        <w:t>Legacy TA can cause severe interference to the signal reception in non-SBFD slot/symbols due to UL signal overlap from SBFD slot.</w:t>
      </w:r>
      <w:r w:rsidR="00847477" w:rsidRPr="004F0D45">
        <w:rPr>
          <w:rFonts w:eastAsiaTheme="majorEastAsia"/>
          <w:b/>
          <w:bCs/>
          <w:i/>
          <w:iCs/>
          <w:color w:val="000000" w:themeColor="text1"/>
        </w:rPr>
        <w:fldChar w:fldCharType="end"/>
      </w:r>
    </w:p>
    <w:p w14:paraId="5DD2C9D9" w14:textId="4F25994B" w:rsidR="00467502" w:rsidRPr="004F0D45" w:rsidRDefault="004C61B0" w:rsidP="005A07CF">
      <w:pPr>
        <w:spacing w:after="60"/>
        <w:jc w:val="both"/>
        <w:rPr>
          <w:b/>
          <w:bCs/>
          <w:i/>
          <w:iCs/>
        </w:rPr>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F230AB" w:rsidRPr="004F0D45">
        <w:rPr>
          <w:b/>
          <w:bCs/>
          <w:i/>
          <w:iCs/>
          <w:noProof/>
        </w:rPr>
        <w:t>19</w:t>
      </w:r>
      <w:r w:rsidRPr="004F0D45">
        <w:fldChar w:fldCharType="end"/>
      </w:r>
      <w:r w:rsidRPr="004F0D45">
        <w:t xml:space="preserve">: </w:t>
      </w:r>
      <w:r w:rsidR="00BC78D4" w:rsidRPr="004F0D45">
        <w:rPr>
          <w:b/>
          <w:bCs/>
          <w:i/>
          <w:iCs/>
        </w:rPr>
        <w:fldChar w:fldCharType="begin"/>
      </w:r>
      <w:r w:rsidR="00BC78D4" w:rsidRPr="004F0D45">
        <w:instrText xml:space="preserve"> REF _Ref127287210 \h </w:instrText>
      </w:r>
      <w:r w:rsidR="005D664D" w:rsidRPr="004F0D45">
        <w:rPr>
          <w:b/>
          <w:bCs/>
          <w:i/>
          <w:iCs/>
        </w:rPr>
        <w:instrText xml:space="preserve"> \* MERGEFORMAT </w:instrText>
      </w:r>
      <w:r w:rsidR="00BC78D4" w:rsidRPr="004F0D45">
        <w:rPr>
          <w:b/>
          <w:bCs/>
          <w:i/>
          <w:iCs/>
        </w:rPr>
      </w:r>
      <w:r w:rsidR="00BC78D4" w:rsidRPr="004F0D45">
        <w:rPr>
          <w:b/>
          <w:bCs/>
          <w:i/>
          <w:iCs/>
        </w:rPr>
        <w:fldChar w:fldCharType="separate"/>
      </w:r>
      <w:r w:rsidR="00F230AB" w:rsidRPr="004F0D45">
        <w:rPr>
          <w:b/>
          <w:bCs/>
          <w:i/>
          <w:iCs/>
        </w:rPr>
        <w:t>Fast CLI measurements are required due to dynamic scheduling of UEs. Configuring resources for such fast CLI measurements will increase measurement resource overhead</w:t>
      </w:r>
      <w:r w:rsidR="00BC78D4" w:rsidRPr="004F0D45">
        <w:rPr>
          <w:b/>
          <w:bCs/>
          <w:i/>
          <w:iCs/>
        </w:rPr>
        <w:fldChar w:fldCharType="end"/>
      </w:r>
    </w:p>
    <w:p w14:paraId="164FAB76" w14:textId="1115F3FD" w:rsidR="004C61B0" w:rsidRPr="004F0D45" w:rsidRDefault="004C61B0" w:rsidP="005A07CF">
      <w:pPr>
        <w:spacing w:after="60"/>
        <w:jc w:val="both"/>
        <w:rPr>
          <w:b/>
          <w:bCs/>
          <w:i/>
          <w:iCs/>
        </w:rPr>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F230AB" w:rsidRPr="004F0D45">
        <w:rPr>
          <w:b/>
          <w:bCs/>
          <w:i/>
          <w:iCs/>
          <w:noProof/>
        </w:rPr>
        <w:t>20</w:t>
      </w:r>
      <w:r w:rsidRPr="004F0D45">
        <w:fldChar w:fldCharType="end"/>
      </w:r>
      <w:r w:rsidRPr="004F0D45">
        <w:t xml:space="preserve">: </w:t>
      </w:r>
      <w:r w:rsidR="00BC78D4" w:rsidRPr="004F0D45">
        <w:rPr>
          <w:b/>
          <w:bCs/>
          <w:i/>
          <w:iCs/>
        </w:rPr>
        <w:fldChar w:fldCharType="begin"/>
      </w:r>
      <w:r w:rsidR="00BC78D4" w:rsidRPr="004F0D45">
        <w:instrText xml:space="preserve"> REF _Ref127285769 \h </w:instrText>
      </w:r>
      <w:r w:rsidR="005D664D" w:rsidRPr="004F0D45">
        <w:rPr>
          <w:b/>
          <w:bCs/>
          <w:i/>
          <w:iCs/>
        </w:rPr>
        <w:instrText xml:space="preserve"> \* MERGEFORMAT </w:instrText>
      </w:r>
      <w:r w:rsidR="00BC78D4" w:rsidRPr="004F0D45">
        <w:rPr>
          <w:b/>
          <w:bCs/>
          <w:i/>
          <w:iCs/>
        </w:rPr>
      </w:r>
      <w:r w:rsidR="00BC78D4" w:rsidRPr="004F0D45">
        <w:rPr>
          <w:b/>
          <w:bCs/>
          <w:i/>
          <w:iCs/>
        </w:rPr>
        <w:fldChar w:fldCharType="separate"/>
      </w:r>
      <w:r w:rsidR="00F230AB" w:rsidRPr="004F0D45">
        <w:rPr>
          <w:b/>
          <w:bCs/>
          <w:i/>
          <w:iCs/>
        </w:rPr>
        <w:t>UE cannot report the presence of CLI unless there are resources available for CLI measurement.</w:t>
      </w:r>
      <w:r w:rsidR="00BC78D4" w:rsidRPr="004F0D45">
        <w:rPr>
          <w:b/>
          <w:bCs/>
          <w:i/>
          <w:iCs/>
        </w:rPr>
        <w:fldChar w:fldCharType="end"/>
      </w:r>
    </w:p>
    <w:p w14:paraId="6ED51816" w14:textId="2B6B940F" w:rsidR="004C61B0" w:rsidRPr="004F0D45" w:rsidRDefault="004C61B0" w:rsidP="005A07CF">
      <w:pPr>
        <w:spacing w:after="60"/>
        <w:jc w:val="both"/>
        <w:rPr>
          <w:b/>
          <w:bCs/>
          <w:i/>
          <w:iCs/>
        </w:rPr>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F230AB" w:rsidRPr="004F0D45">
        <w:rPr>
          <w:b/>
          <w:bCs/>
          <w:i/>
          <w:iCs/>
          <w:noProof/>
        </w:rPr>
        <w:t>21</w:t>
      </w:r>
      <w:r w:rsidRPr="004F0D45">
        <w:fldChar w:fldCharType="end"/>
      </w:r>
      <w:r w:rsidRPr="004F0D45">
        <w:t xml:space="preserve">: </w:t>
      </w:r>
      <w:r w:rsidR="00BC78D4" w:rsidRPr="004F0D45">
        <w:rPr>
          <w:b/>
          <w:bCs/>
          <w:i/>
          <w:iCs/>
        </w:rPr>
        <w:fldChar w:fldCharType="begin"/>
      </w:r>
      <w:r w:rsidR="00BC78D4" w:rsidRPr="004F0D45">
        <w:instrText xml:space="preserve"> REF _Ref127183182 \h </w:instrText>
      </w:r>
      <w:r w:rsidR="005D664D" w:rsidRPr="004F0D45">
        <w:rPr>
          <w:b/>
          <w:bCs/>
          <w:i/>
          <w:iCs/>
        </w:rPr>
        <w:instrText xml:space="preserve"> \* MERGEFORMAT </w:instrText>
      </w:r>
      <w:r w:rsidR="00BC78D4" w:rsidRPr="004F0D45">
        <w:rPr>
          <w:b/>
          <w:bCs/>
          <w:i/>
          <w:iCs/>
        </w:rPr>
      </w:r>
      <w:r w:rsidR="00BC78D4" w:rsidRPr="004F0D45">
        <w:rPr>
          <w:b/>
          <w:bCs/>
          <w:i/>
          <w:iCs/>
        </w:rPr>
        <w:fldChar w:fldCharType="separate"/>
      </w:r>
      <w:r w:rsidR="00F230AB" w:rsidRPr="004F0D45">
        <w:rPr>
          <w:b/>
          <w:bCs/>
          <w:i/>
          <w:iCs/>
        </w:rPr>
        <w:t>SRS-RSRP measurement within a GB can address resource overhead problem and make good use of available GB resources</w:t>
      </w:r>
      <w:r w:rsidR="00BC78D4" w:rsidRPr="004F0D45">
        <w:rPr>
          <w:b/>
          <w:bCs/>
          <w:i/>
          <w:iCs/>
        </w:rPr>
        <w:fldChar w:fldCharType="end"/>
      </w:r>
    </w:p>
    <w:p w14:paraId="076D07C8" w14:textId="0E4C09BA" w:rsidR="004C61B0" w:rsidRPr="004F0D45" w:rsidRDefault="004C61B0" w:rsidP="005A07CF">
      <w:pPr>
        <w:overflowPunct/>
        <w:autoSpaceDE/>
        <w:autoSpaceDN/>
        <w:adjustRightInd/>
        <w:spacing w:after="60"/>
        <w:jc w:val="both"/>
        <w:textAlignment w:val="center"/>
        <w:rPr>
          <w:b/>
          <w:bCs/>
          <w:i/>
          <w:iCs/>
        </w:rPr>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F230AB" w:rsidRPr="004F0D45">
        <w:rPr>
          <w:b/>
          <w:bCs/>
          <w:i/>
          <w:iCs/>
          <w:noProof/>
        </w:rPr>
        <w:t>22</w:t>
      </w:r>
      <w:r w:rsidRPr="004F0D45">
        <w:fldChar w:fldCharType="end"/>
      </w:r>
      <w:r w:rsidRPr="004F0D45">
        <w:t xml:space="preserve">: </w:t>
      </w:r>
      <w:r w:rsidR="00BC78D4" w:rsidRPr="004F0D45">
        <w:rPr>
          <w:b/>
          <w:bCs/>
          <w:i/>
          <w:iCs/>
        </w:rPr>
        <w:fldChar w:fldCharType="begin"/>
      </w:r>
      <w:r w:rsidR="00BC78D4" w:rsidRPr="004F0D45">
        <w:instrText xml:space="preserve"> REF _Ref127285889 \h </w:instrText>
      </w:r>
      <w:r w:rsidR="005D664D" w:rsidRPr="004F0D45">
        <w:rPr>
          <w:b/>
          <w:bCs/>
          <w:i/>
          <w:iCs/>
        </w:rPr>
        <w:instrText xml:space="preserve"> \* MERGEFORMAT </w:instrText>
      </w:r>
      <w:r w:rsidR="00BC78D4" w:rsidRPr="004F0D45">
        <w:rPr>
          <w:b/>
          <w:bCs/>
          <w:i/>
          <w:iCs/>
        </w:rPr>
      </w:r>
      <w:r w:rsidR="00BC78D4" w:rsidRPr="004F0D45">
        <w:rPr>
          <w:b/>
          <w:bCs/>
          <w:i/>
          <w:iCs/>
        </w:rPr>
        <w:fldChar w:fldCharType="separate"/>
      </w:r>
      <w:r w:rsidR="00F230AB" w:rsidRPr="004F0D45">
        <w:rPr>
          <w:b/>
          <w:bCs/>
          <w:i/>
          <w:iCs/>
        </w:rPr>
        <w:t>Efficient SRS-RSRP measurement within a GB requires redesigning of SRS resource configuration to fit GB size</w:t>
      </w:r>
      <w:r w:rsidR="00BC78D4" w:rsidRPr="004F0D45">
        <w:rPr>
          <w:b/>
          <w:bCs/>
          <w:i/>
          <w:iCs/>
        </w:rPr>
        <w:fldChar w:fldCharType="end"/>
      </w:r>
    </w:p>
    <w:p w14:paraId="506985AB" w14:textId="5843508D" w:rsidR="004C61B0" w:rsidRPr="004F0D45" w:rsidRDefault="004C61B0" w:rsidP="005A07CF">
      <w:pPr>
        <w:spacing w:after="60"/>
        <w:jc w:val="both"/>
        <w:rPr>
          <w:b/>
          <w:bCs/>
          <w:i/>
          <w:iCs/>
        </w:rPr>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F230AB" w:rsidRPr="004F0D45">
        <w:rPr>
          <w:b/>
          <w:bCs/>
          <w:i/>
          <w:iCs/>
          <w:noProof/>
        </w:rPr>
        <w:t>23</w:t>
      </w:r>
      <w:r w:rsidRPr="004F0D45">
        <w:fldChar w:fldCharType="end"/>
      </w:r>
      <w:r w:rsidRPr="004F0D45">
        <w:t xml:space="preserve">: </w:t>
      </w:r>
      <w:r w:rsidR="00BC78D4" w:rsidRPr="004F0D45">
        <w:rPr>
          <w:b/>
          <w:bCs/>
          <w:i/>
          <w:iCs/>
        </w:rPr>
        <w:fldChar w:fldCharType="begin"/>
      </w:r>
      <w:r w:rsidR="00BC78D4" w:rsidRPr="004F0D45">
        <w:instrText xml:space="preserve"> REF _Ref131537494 \h </w:instrText>
      </w:r>
      <w:r w:rsidR="005D664D" w:rsidRPr="004F0D45">
        <w:rPr>
          <w:b/>
          <w:bCs/>
          <w:i/>
          <w:iCs/>
        </w:rPr>
        <w:instrText xml:space="preserve"> \* MERGEFORMAT </w:instrText>
      </w:r>
      <w:r w:rsidR="00BC78D4" w:rsidRPr="004F0D45">
        <w:rPr>
          <w:b/>
          <w:bCs/>
          <w:i/>
          <w:iCs/>
        </w:rPr>
      </w:r>
      <w:r w:rsidR="00BC78D4" w:rsidRPr="004F0D45">
        <w:rPr>
          <w:b/>
          <w:bCs/>
          <w:i/>
          <w:iCs/>
        </w:rPr>
        <w:fldChar w:fldCharType="separate"/>
      </w:r>
      <w:r w:rsidR="00F230AB" w:rsidRPr="004F0D45">
        <w:rPr>
          <w:b/>
          <w:bCs/>
          <w:i/>
          <w:iCs/>
        </w:rPr>
        <w:t>Frequency differentiation for CLI measurement on UL-SB can enable gNB to identify individual CLI aggressors</w:t>
      </w:r>
      <w:r w:rsidR="00BC78D4" w:rsidRPr="004F0D45">
        <w:rPr>
          <w:b/>
          <w:bCs/>
          <w:i/>
          <w:iCs/>
        </w:rPr>
        <w:fldChar w:fldCharType="end"/>
      </w:r>
    </w:p>
    <w:p w14:paraId="18C2669E" w14:textId="77777777" w:rsidR="00AA5C5C" w:rsidRPr="004F0D45" w:rsidRDefault="00AA5C5C" w:rsidP="005A07CF">
      <w:pPr>
        <w:spacing w:after="60"/>
        <w:jc w:val="both"/>
        <w:rPr>
          <w:b/>
          <w:bCs/>
          <w:i/>
          <w:iCs/>
        </w:rPr>
      </w:pPr>
    </w:p>
    <w:p w14:paraId="7CE455C2" w14:textId="64AF0A4D" w:rsidR="00363884" w:rsidRPr="004F0D45" w:rsidRDefault="00321987" w:rsidP="005A07CF">
      <w:pPr>
        <w:spacing w:after="60"/>
        <w:jc w:val="both"/>
        <w:rPr>
          <w:rFonts w:cstheme="minorHAnsi"/>
          <w:b/>
          <w:bCs/>
          <w:i/>
          <w:iCs/>
        </w:rPr>
      </w:pPr>
      <w:r w:rsidRPr="004F0D45">
        <w:rPr>
          <w:b/>
          <w:bCs/>
          <w:i/>
          <w:iCs/>
          <w:bdr w:val="none" w:sz="0" w:space="0" w:color="auto" w:frame="1"/>
        </w:rPr>
        <w:t xml:space="preserve">Proposal </w:t>
      </w:r>
      <w:r w:rsidRPr="004F0D45">
        <w:rPr>
          <w:b/>
          <w:bCs/>
          <w:i/>
          <w:iCs/>
        </w:rPr>
        <w:fldChar w:fldCharType="begin"/>
      </w:r>
      <w:r w:rsidRPr="004F0D45">
        <w:rPr>
          <w:b/>
          <w:bCs/>
          <w:i/>
          <w:iCs/>
        </w:rPr>
        <w:instrText xml:space="preserve"> SEQ Proposal \r1 </w:instrText>
      </w:r>
      <w:r w:rsidRPr="004F0D45">
        <w:rPr>
          <w:b/>
          <w:bCs/>
          <w:i/>
          <w:iCs/>
        </w:rPr>
        <w:fldChar w:fldCharType="separate"/>
      </w:r>
      <w:r w:rsidR="00F230AB" w:rsidRPr="004F0D45">
        <w:rPr>
          <w:b/>
          <w:bCs/>
          <w:i/>
          <w:iCs/>
          <w:noProof/>
        </w:rPr>
        <w:t>1</w:t>
      </w:r>
      <w:r w:rsidRPr="004F0D45">
        <w:rPr>
          <w:b/>
          <w:bCs/>
          <w:i/>
          <w:iCs/>
        </w:rPr>
        <w:fldChar w:fldCharType="end"/>
      </w:r>
      <w:r w:rsidRPr="004F0D45">
        <w:rPr>
          <w:rFonts w:cstheme="minorHAnsi"/>
          <w:b/>
          <w:bCs/>
          <w:i/>
          <w:iCs/>
        </w:rPr>
        <w:t>:</w:t>
      </w:r>
      <w:r w:rsidR="00B66C7C" w:rsidRPr="004F0D45">
        <w:rPr>
          <w:b/>
          <w:bCs/>
          <w:i/>
          <w:iCs/>
          <w:bdr w:val="none" w:sz="0" w:space="0" w:color="auto" w:frame="1"/>
        </w:rPr>
        <w:t xml:space="preserve"> </w:t>
      </w:r>
      <w:r w:rsidR="00C2236B" w:rsidRPr="004F0D45">
        <w:rPr>
          <w:rFonts w:cstheme="minorHAnsi"/>
          <w:b/>
          <w:bCs/>
          <w:i/>
          <w:iCs/>
        </w:rPr>
        <w:fldChar w:fldCharType="begin"/>
      </w:r>
      <w:r w:rsidR="00C2236B" w:rsidRPr="004F0D45">
        <w:rPr>
          <w:b/>
          <w:bCs/>
          <w:i/>
          <w:iCs/>
          <w:bdr w:val="none" w:sz="0" w:space="0" w:color="auto" w:frame="1"/>
        </w:rPr>
        <w:instrText xml:space="preserve"> REF _Ref134110220 \h </w:instrText>
      </w:r>
      <w:r w:rsidR="00C2236B" w:rsidRPr="004F0D45">
        <w:rPr>
          <w:rFonts w:cstheme="minorHAnsi"/>
          <w:b/>
          <w:bCs/>
          <w:i/>
          <w:iCs/>
        </w:rPr>
        <w:instrText xml:space="preserve"> \* MERGEFORMAT </w:instrText>
      </w:r>
      <w:r w:rsidR="00C2236B" w:rsidRPr="004F0D45">
        <w:rPr>
          <w:rFonts w:cstheme="minorHAnsi"/>
          <w:b/>
          <w:bCs/>
          <w:i/>
          <w:iCs/>
        </w:rPr>
      </w:r>
      <w:r w:rsidR="00C2236B" w:rsidRPr="004F0D45">
        <w:rPr>
          <w:rFonts w:cstheme="minorHAnsi"/>
          <w:b/>
          <w:bCs/>
          <w:i/>
          <w:iCs/>
        </w:rPr>
        <w:fldChar w:fldCharType="separate"/>
      </w:r>
      <w:r w:rsidR="00F230AB" w:rsidRPr="004F0D45">
        <w:rPr>
          <w:rFonts w:cstheme="minorHAnsi"/>
          <w:b/>
          <w:bCs/>
          <w:i/>
          <w:iCs/>
        </w:rPr>
        <w:t>RAN1 to study the benefits of configuring two SBFD subband layouts for SBFD operation</w:t>
      </w:r>
      <w:r w:rsidR="00C2236B" w:rsidRPr="004F0D45">
        <w:rPr>
          <w:rFonts w:cstheme="minorHAnsi"/>
          <w:b/>
          <w:bCs/>
          <w:i/>
          <w:iCs/>
        </w:rPr>
        <w:fldChar w:fldCharType="end"/>
      </w:r>
    </w:p>
    <w:p w14:paraId="16C95ADA" w14:textId="363C09C2" w:rsidR="00B66C7C" w:rsidRPr="004F0D45" w:rsidRDefault="00B66C7C" w:rsidP="005A07CF">
      <w:pPr>
        <w:spacing w:after="60"/>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2</w:t>
      </w:r>
      <w:r w:rsidRPr="004F0D45">
        <w:rPr>
          <w:b/>
          <w:bCs/>
          <w:i/>
          <w:iCs/>
        </w:rPr>
        <w:fldChar w:fldCharType="end"/>
      </w:r>
      <w:r w:rsidRPr="004F0D45">
        <w:rPr>
          <w:rFonts w:cstheme="minorHAnsi"/>
          <w:b/>
          <w:bCs/>
          <w:i/>
          <w:iCs/>
        </w:rPr>
        <w:t xml:space="preserve">: </w:t>
      </w:r>
      <w:r w:rsidRPr="004F0D45">
        <w:rPr>
          <w:b/>
          <w:bCs/>
          <w:i/>
          <w:iCs/>
          <w:bdr w:val="none" w:sz="0" w:space="0" w:color="auto" w:frame="1"/>
        </w:rPr>
        <w:fldChar w:fldCharType="begin"/>
      </w:r>
      <w:r w:rsidRPr="004F0D45">
        <w:rPr>
          <w:rFonts w:cstheme="minorHAnsi"/>
          <w:b/>
          <w:bCs/>
          <w:i/>
          <w:iCs/>
        </w:rPr>
        <w:instrText xml:space="preserve"> REF _Ref131684498 \h </w:instrText>
      </w:r>
      <w:r w:rsidR="004F0D45">
        <w:rPr>
          <w:b/>
          <w:bCs/>
          <w:i/>
          <w:iCs/>
          <w:bdr w:val="none" w:sz="0" w:space="0" w:color="auto" w:frame="1"/>
        </w:rPr>
        <w:instrText xml:space="preserve"> \* MERGEFORMAT </w:instrText>
      </w:r>
      <w:r w:rsidRPr="004F0D45">
        <w:rPr>
          <w:b/>
          <w:bCs/>
          <w:i/>
          <w:iCs/>
          <w:bdr w:val="none" w:sz="0" w:space="0" w:color="auto" w:frame="1"/>
        </w:rPr>
      </w:r>
      <w:r w:rsidRPr="004F0D45">
        <w:rPr>
          <w:b/>
          <w:bCs/>
          <w:i/>
          <w:iCs/>
          <w:bdr w:val="none" w:sz="0" w:space="0" w:color="auto" w:frame="1"/>
        </w:rPr>
        <w:fldChar w:fldCharType="separate"/>
      </w:r>
      <w:r w:rsidR="00F230AB" w:rsidRPr="004F0D45">
        <w:rPr>
          <w:b/>
          <w:bCs/>
          <w:i/>
          <w:iCs/>
          <w:bdr w:val="none" w:sz="0" w:space="0" w:color="auto" w:frame="1"/>
        </w:rPr>
        <w:t>Frequency domain configuration is broadcasted as part of SIB, listing DL and UL subbands, specifying their starting CRB(s) and RB length(s).</w:t>
      </w:r>
      <w:r w:rsidRPr="004F0D45">
        <w:rPr>
          <w:b/>
          <w:bCs/>
          <w:i/>
          <w:iCs/>
          <w:bdr w:val="none" w:sz="0" w:space="0" w:color="auto" w:frame="1"/>
        </w:rPr>
        <w:fldChar w:fldCharType="end"/>
      </w:r>
    </w:p>
    <w:p w14:paraId="6B818B19" w14:textId="384F31EA" w:rsidR="00FC2E77" w:rsidRPr="004F0D45" w:rsidRDefault="00DF7126" w:rsidP="005A07CF">
      <w:pPr>
        <w:spacing w:after="60"/>
        <w:jc w:val="both"/>
        <w:rPr>
          <w:b/>
          <w:bCs/>
          <w:i/>
          <w:iCs/>
          <w:bdr w:val="none" w:sz="0" w:space="0" w:color="auto" w:frame="1"/>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3</w:t>
      </w:r>
      <w:r w:rsidRPr="004F0D45">
        <w:rPr>
          <w:b/>
          <w:bCs/>
          <w:i/>
          <w:iCs/>
        </w:rPr>
        <w:fldChar w:fldCharType="end"/>
      </w:r>
      <w:r w:rsidRPr="004F0D45">
        <w:rPr>
          <w:rFonts w:cstheme="minorHAnsi"/>
          <w:b/>
          <w:bCs/>
          <w:i/>
          <w:iCs/>
        </w:rPr>
        <w:t xml:space="preserve">: </w:t>
      </w:r>
      <w:r w:rsidR="00D30A5D" w:rsidRPr="004F0D45">
        <w:rPr>
          <w:b/>
          <w:bCs/>
          <w:i/>
          <w:iCs/>
          <w:bdr w:val="none" w:sz="0" w:space="0" w:color="auto" w:frame="1"/>
        </w:rPr>
        <w:fldChar w:fldCharType="begin"/>
      </w:r>
      <w:r w:rsidR="00D30A5D" w:rsidRPr="004F0D45">
        <w:rPr>
          <w:rFonts w:cstheme="minorHAnsi"/>
          <w:b/>
          <w:bCs/>
          <w:i/>
          <w:iCs/>
        </w:rPr>
        <w:instrText xml:space="preserve"> REF _Ref131674117 \h </w:instrText>
      </w:r>
      <w:r w:rsidR="004F0D45">
        <w:rPr>
          <w:b/>
          <w:bCs/>
          <w:i/>
          <w:iCs/>
          <w:bdr w:val="none" w:sz="0" w:space="0" w:color="auto" w:frame="1"/>
        </w:rPr>
        <w:instrText xml:space="preserve"> \* MERGEFORMAT </w:instrText>
      </w:r>
      <w:r w:rsidR="00D30A5D" w:rsidRPr="004F0D45">
        <w:rPr>
          <w:b/>
          <w:bCs/>
          <w:i/>
          <w:iCs/>
          <w:bdr w:val="none" w:sz="0" w:space="0" w:color="auto" w:frame="1"/>
        </w:rPr>
      </w:r>
      <w:r w:rsidR="00D30A5D" w:rsidRPr="004F0D45">
        <w:rPr>
          <w:b/>
          <w:bCs/>
          <w:i/>
          <w:iCs/>
          <w:bdr w:val="none" w:sz="0" w:space="0" w:color="auto" w:frame="1"/>
        </w:rPr>
        <w:fldChar w:fldCharType="separate"/>
      </w:r>
      <w:r w:rsidR="00F230AB" w:rsidRPr="004F0D45">
        <w:rPr>
          <w:b/>
          <w:bCs/>
          <w:i/>
          <w:iCs/>
          <w:bdr w:val="none" w:sz="0" w:space="0" w:color="auto" w:frame="1"/>
        </w:rPr>
        <w:t>UL and DL subbands are explicitly configured or indicated to the UE. If knowledge of the guard band is needed at the UE it can be implicitly determined as RBs not configured as part of DL or UL subband.</w:t>
      </w:r>
      <w:r w:rsidR="00D30A5D" w:rsidRPr="004F0D45">
        <w:rPr>
          <w:b/>
          <w:bCs/>
          <w:i/>
          <w:iCs/>
          <w:bdr w:val="none" w:sz="0" w:space="0" w:color="auto" w:frame="1"/>
        </w:rPr>
        <w:fldChar w:fldCharType="end"/>
      </w:r>
      <w:r w:rsidR="00FC2E77" w:rsidRPr="004F0D45">
        <w:rPr>
          <w:b/>
          <w:bCs/>
          <w:i/>
          <w:iCs/>
          <w:bdr w:val="none" w:sz="0" w:space="0" w:color="auto" w:frame="1"/>
        </w:rPr>
        <w:t>.</w:t>
      </w:r>
    </w:p>
    <w:p w14:paraId="15A1AB2A" w14:textId="513AC110" w:rsidR="00FC2E77" w:rsidRPr="004F0D45" w:rsidRDefault="00975BF5" w:rsidP="005A07CF">
      <w:pPr>
        <w:spacing w:after="60"/>
        <w:jc w:val="both"/>
        <w:rPr>
          <w:b/>
          <w:bCs/>
          <w:i/>
          <w:iCs/>
          <w:bdr w:val="none" w:sz="0" w:space="0" w:color="auto" w:frame="1"/>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4</w:t>
      </w:r>
      <w:r w:rsidRPr="004F0D45">
        <w:rPr>
          <w:b/>
          <w:bCs/>
          <w:i/>
          <w:iCs/>
        </w:rPr>
        <w:fldChar w:fldCharType="end"/>
      </w:r>
      <w:r w:rsidRPr="004F0D45">
        <w:rPr>
          <w:rFonts w:cstheme="minorHAnsi"/>
          <w:b/>
          <w:bCs/>
          <w:i/>
          <w:iCs/>
        </w:rPr>
        <w:t xml:space="preserve">: </w:t>
      </w:r>
      <w:r w:rsidR="00D30A5D" w:rsidRPr="004F0D45">
        <w:rPr>
          <w:b/>
          <w:bCs/>
          <w:i/>
          <w:iCs/>
        </w:rPr>
        <w:fldChar w:fldCharType="begin"/>
      </w:r>
      <w:r w:rsidR="00D30A5D" w:rsidRPr="004F0D45">
        <w:rPr>
          <w:rFonts w:cstheme="minorHAnsi"/>
          <w:b/>
          <w:bCs/>
          <w:i/>
          <w:iCs/>
        </w:rPr>
        <w:instrText xml:space="preserve"> REF _Ref131674144 \h </w:instrText>
      </w:r>
      <w:r w:rsidR="004F0D45">
        <w:rPr>
          <w:b/>
          <w:bCs/>
          <w:i/>
          <w:iCs/>
        </w:rPr>
        <w:instrText xml:space="preserve"> \* MERGEFORMAT </w:instrText>
      </w:r>
      <w:r w:rsidR="00D30A5D" w:rsidRPr="004F0D45">
        <w:rPr>
          <w:b/>
          <w:bCs/>
          <w:i/>
          <w:iCs/>
        </w:rPr>
      </w:r>
      <w:r w:rsidR="00D30A5D" w:rsidRPr="004F0D45">
        <w:rPr>
          <w:b/>
          <w:bCs/>
          <w:i/>
          <w:iCs/>
        </w:rPr>
        <w:fldChar w:fldCharType="separate"/>
      </w:r>
      <w:r w:rsidR="00F230AB" w:rsidRPr="004F0D45">
        <w:rPr>
          <w:b/>
          <w:bCs/>
          <w:i/>
          <w:iCs/>
        </w:rPr>
        <w:t>RAN1 to study dynamic indication of SBFD time location in addition to semi-static configuration.</w:t>
      </w:r>
      <w:r w:rsidR="00D30A5D" w:rsidRPr="004F0D45">
        <w:rPr>
          <w:b/>
          <w:bCs/>
          <w:i/>
          <w:iCs/>
        </w:rPr>
        <w:fldChar w:fldCharType="end"/>
      </w:r>
    </w:p>
    <w:p w14:paraId="45530172" w14:textId="650F18F3" w:rsidR="00C004AD" w:rsidRPr="004F0D45" w:rsidRDefault="00C004AD" w:rsidP="005A07CF">
      <w:pPr>
        <w:spacing w:after="60"/>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5</w:t>
      </w:r>
      <w:r w:rsidRPr="004F0D45">
        <w:rPr>
          <w:b/>
          <w:bCs/>
          <w:i/>
          <w:iCs/>
        </w:rPr>
        <w:fldChar w:fldCharType="end"/>
      </w:r>
      <w:r w:rsidRPr="004F0D45">
        <w:rPr>
          <w:rFonts w:cstheme="minorHAnsi"/>
          <w:b/>
          <w:bCs/>
          <w:i/>
          <w:iCs/>
        </w:rPr>
        <w:t xml:space="preserve">: </w:t>
      </w:r>
      <w:r w:rsidRPr="004F0D45">
        <w:rPr>
          <w:b/>
          <w:bCs/>
          <w:i/>
          <w:iCs/>
        </w:rPr>
        <w:fldChar w:fldCharType="begin"/>
      </w:r>
      <w:r w:rsidRPr="004F0D45">
        <w:rPr>
          <w:rFonts w:cstheme="minorHAnsi"/>
          <w:b/>
          <w:bCs/>
          <w:i/>
          <w:iCs/>
        </w:rPr>
        <w:instrText xml:space="preserve"> REF _Ref118382229 \h </w:instrText>
      </w:r>
      <w:r w:rsidRPr="004F0D45">
        <w:rPr>
          <w:b/>
          <w:bCs/>
          <w:i/>
          <w:iCs/>
        </w:rPr>
        <w:instrText xml:space="preserve"> \* MERGEFORMAT </w:instrText>
      </w:r>
      <w:r w:rsidRPr="004F0D45">
        <w:rPr>
          <w:b/>
          <w:bCs/>
          <w:i/>
          <w:iCs/>
        </w:rPr>
      </w:r>
      <w:r w:rsidRPr="004F0D45">
        <w:rPr>
          <w:b/>
          <w:bCs/>
          <w:i/>
          <w:iCs/>
        </w:rPr>
        <w:fldChar w:fldCharType="separate"/>
      </w:r>
      <w:r w:rsidR="00F230AB" w:rsidRPr="004F0D45">
        <w:rPr>
          <w:b/>
          <w:bCs/>
          <w:i/>
          <w:iCs/>
        </w:rPr>
        <w:t>The time-domain configuration of the SBFD layout should support two back-to-back periodic patterns, to accommodate different layout in slots containing SSB.</w:t>
      </w:r>
      <w:r w:rsidRPr="004F0D45">
        <w:rPr>
          <w:b/>
          <w:bCs/>
          <w:i/>
          <w:iCs/>
        </w:rPr>
        <w:fldChar w:fldCharType="end"/>
      </w:r>
    </w:p>
    <w:p w14:paraId="218701B4" w14:textId="560D6199" w:rsidR="00C004AD" w:rsidRPr="004F0D45" w:rsidRDefault="00C004AD" w:rsidP="005A07CF">
      <w:pPr>
        <w:spacing w:after="60"/>
        <w:jc w:val="both"/>
        <w:rPr>
          <w:b/>
          <w:bCs/>
          <w:i/>
          <w:iCs/>
          <w:bdr w:val="none" w:sz="0" w:space="0" w:color="auto" w:frame="1"/>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6</w:t>
      </w:r>
      <w:r w:rsidRPr="004F0D45">
        <w:rPr>
          <w:b/>
          <w:bCs/>
          <w:i/>
          <w:iCs/>
        </w:rPr>
        <w:fldChar w:fldCharType="end"/>
      </w:r>
      <w:r w:rsidRPr="004F0D45">
        <w:rPr>
          <w:rFonts w:cstheme="minorHAnsi"/>
          <w:b/>
          <w:bCs/>
          <w:i/>
          <w:iCs/>
        </w:rPr>
        <w:t xml:space="preserve">: </w:t>
      </w:r>
      <w:r w:rsidR="00D30A5D" w:rsidRPr="004F0D45">
        <w:rPr>
          <w:rFonts w:cstheme="minorHAnsi"/>
          <w:b/>
          <w:bCs/>
          <w:i/>
          <w:iCs/>
        </w:rPr>
        <w:fldChar w:fldCharType="begin"/>
      </w:r>
      <w:r w:rsidR="00D30A5D" w:rsidRPr="004F0D45">
        <w:rPr>
          <w:rFonts w:cstheme="minorHAnsi"/>
          <w:b/>
          <w:bCs/>
          <w:i/>
          <w:iCs/>
        </w:rPr>
        <w:instrText xml:space="preserve"> REF _Ref118363502 \h </w:instrText>
      </w:r>
      <w:r w:rsidR="004F0D45">
        <w:rPr>
          <w:rFonts w:cstheme="minorHAnsi"/>
          <w:b/>
          <w:bCs/>
          <w:i/>
          <w:iCs/>
        </w:rPr>
        <w:instrText xml:space="preserve"> \* MERGEFORMAT </w:instrText>
      </w:r>
      <w:r w:rsidR="00D30A5D" w:rsidRPr="004F0D45">
        <w:rPr>
          <w:rFonts w:cstheme="minorHAnsi"/>
          <w:b/>
          <w:bCs/>
          <w:i/>
          <w:iCs/>
        </w:rPr>
      </w:r>
      <w:r w:rsidR="00D30A5D" w:rsidRPr="004F0D45">
        <w:rPr>
          <w:rFonts w:cstheme="minorHAnsi"/>
          <w:b/>
          <w:bCs/>
          <w:i/>
          <w:iCs/>
        </w:rPr>
        <w:fldChar w:fldCharType="separate"/>
      </w:r>
      <w:r w:rsidR="00F230AB" w:rsidRPr="004F0D45">
        <w:rPr>
          <w:rFonts w:cstheme="minorHAnsi"/>
          <w:b/>
          <w:bCs/>
          <w:i/>
          <w:iCs/>
        </w:rPr>
        <w:t>SBFD layout in frequency and time is configured per carrier.</w:t>
      </w:r>
      <w:r w:rsidR="00D30A5D" w:rsidRPr="004F0D45">
        <w:rPr>
          <w:rFonts w:cstheme="minorHAnsi"/>
          <w:b/>
          <w:bCs/>
          <w:i/>
          <w:iCs/>
        </w:rPr>
        <w:fldChar w:fldCharType="end"/>
      </w:r>
    </w:p>
    <w:p w14:paraId="60966E14" w14:textId="5A65FBCE" w:rsidR="00AA5C5C" w:rsidRPr="004F0D45" w:rsidRDefault="00975BF5" w:rsidP="005A07CF">
      <w:pPr>
        <w:spacing w:after="60"/>
        <w:jc w:val="both"/>
        <w:rPr>
          <w:rFonts w:eastAsia="Malgun Gothic"/>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7</w:t>
      </w:r>
      <w:r w:rsidRPr="004F0D45">
        <w:rPr>
          <w:b/>
          <w:bCs/>
          <w:i/>
          <w:iCs/>
        </w:rPr>
        <w:fldChar w:fldCharType="end"/>
      </w:r>
      <w:r w:rsidRPr="004F0D45">
        <w:rPr>
          <w:rFonts w:cstheme="minorHAnsi"/>
          <w:b/>
          <w:bCs/>
          <w:i/>
          <w:iCs/>
        </w:rPr>
        <w:t xml:space="preserve">: </w:t>
      </w:r>
      <w:r w:rsidR="00075C6C" w:rsidRPr="004F0D45">
        <w:rPr>
          <w:rFonts w:cstheme="minorHAnsi"/>
          <w:b/>
          <w:bCs/>
          <w:i/>
          <w:iCs/>
        </w:rPr>
        <w:fldChar w:fldCharType="begin"/>
      </w:r>
      <w:r w:rsidR="00075C6C" w:rsidRPr="004F0D45">
        <w:rPr>
          <w:rFonts w:cstheme="minorHAnsi"/>
          <w:b/>
          <w:bCs/>
          <w:i/>
          <w:iCs/>
        </w:rPr>
        <w:instrText xml:space="preserve"> REF _Ref131597081 \h </w:instrText>
      </w:r>
      <w:r w:rsidR="004F0D45">
        <w:rPr>
          <w:rFonts w:cstheme="minorHAnsi"/>
          <w:b/>
          <w:bCs/>
          <w:i/>
          <w:iCs/>
        </w:rPr>
        <w:instrText xml:space="preserve"> \* MERGEFORMAT </w:instrText>
      </w:r>
      <w:r w:rsidR="00075C6C" w:rsidRPr="004F0D45">
        <w:rPr>
          <w:rFonts w:cstheme="minorHAnsi"/>
          <w:b/>
          <w:bCs/>
          <w:i/>
          <w:iCs/>
        </w:rPr>
      </w:r>
      <w:r w:rsidR="00075C6C" w:rsidRPr="004F0D45">
        <w:rPr>
          <w:rFonts w:cstheme="minorHAnsi"/>
          <w:b/>
          <w:bCs/>
          <w:i/>
          <w:iCs/>
        </w:rPr>
        <w:fldChar w:fldCharType="separate"/>
      </w:r>
      <w:r w:rsidR="00F230AB" w:rsidRPr="004F0D45">
        <w:rPr>
          <w:rFonts w:cstheme="minorHAnsi"/>
          <w:b/>
          <w:bCs/>
          <w:i/>
          <w:iCs/>
        </w:rPr>
        <w:t>RAN1 to study the following options for transmission direction indication in SBFD slots/symbols</w:t>
      </w:r>
      <w:r w:rsidR="00075C6C" w:rsidRPr="004F0D45">
        <w:rPr>
          <w:rFonts w:cstheme="minorHAnsi"/>
          <w:b/>
          <w:bCs/>
          <w:i/>
          <w:iCs/>
        </w:rPr>
        <w:fldChar w:fldCharType="end"/>
      </w:r>
    </w:p>
    <w:p w14:paraId="0609E80F" w14:textId="77777777" w:rsidR="00AA5C5C" w:rsidRPr="004F0D45" w:rsidRDefault="00AA5C5C">
      <w:pPr>
        <w:pStyle w:val="ListParagraph"/>
        <w:numPr>
          <w:ilvl w:val="0"/>
          <w:numId w:val="17"/>
        </w:numPr>
        <w:spacing w:after="60"/>
        <w:contextualSpacing w:val="0"/>
        <w:jc w:val="both"/>
        <w:rPr>
          <w:rFonts w:eastAsia="Malgun Gothic"/>
          <w:b/>
          <w:bCs/>
          <w:i/>
          <w:iCs/>
          <w:sz w:val="20"/>
          <w:szCs w:val="20"/>
          <w:lang w:val="en-GB"/>
        </w:rPr>
      </w:pPr>
      <w:r w:rsidRPr="004F0D45">
        <w:rPr>
          <w:rFonts w:eastAsia="Malgun Gothic"/>
          <w:b/>
          <w:bCs/>
          <w:i/>
          <w:iCs/>
          <w:sz w:val="20"/>
          <w:szCs w:val="20"/>
          <w:lang w:val="en-GB"/>
        </w:rPr>
        <w:t>Option 1: Transmission direction is preconfigured by higher layer signalling</w:t>
      </w:r>
    </w:p>
    <w:p w14:paraId="7C0DF695" w14:textId="209F4561" w:rsidR="00DF47ED" w:rsidRPr="004F0D45" w:rsidRDefault="00AA5C5C">
      <w:pPr>
        <w:pStyle w:val="ListParagraph"/>
        <w:numPr>
          <w:ilvl w:val="0"/>
          <w:numId w:val="17"/>
        </w:numPr>
        <w:spacing w:after="60"/>
        <w:contextualSpacing w:val="0"/>
        <w:jc w:val="both"/>
        <w:rPr>
          <w:rFonts w:eastAsia="Malgun Gothic"/>
          <w:b/>
          <w:bCs/>
          <w:i/>
          <w:iCs/>
          <w:sz w:val="20"/>
          <w:szCs w:val="20"/>
          <w:lang w:val="en-GB"/>
        </w:rPr>
      </w:pPr>
      <w:r w:rsidRPr="004F0D45">
        <w:rPr>
          <w:rFonts w:eastAsia="Malgun Gothic"/>
          <w:b/>
          <w:bCs/>
          <w:i/>
          <w:iCs/>
          <w:sz w:val="20"/>
          <w:szCs w:val="20"/>
          <w:lang w:val="en-GB"/>
        </w:rPr>
        <w:t xml:space="preserve">Option 2: </w:t>
      </w:r>
      <w:r w:rsidR="0088684D" w:rsidRPr="004F0D45">
        <w:rPr>
          <w:rFonts w:eastAsia="Malgun Gothic"/>
          <w:b/>
          <w:bCs/>
          <w:i/>
          <w:iCs/>
          <w:sz w:val="20"/>
          <w:szCs w:val="20"/>
          <w:lang w:val="en-GB"/>
        </w:rPr>
        <w:t>Transmission direction is dynamically determined based on the scheduling DCI</w:t>
      </w:r>
    </w:p>
    <w:p w14:paraId="6F15DAD9" w14:textId="1579E3C8" w:rsidR="00AA5C5C" w:rsidRPr="004F0D45" w:rsidRDefault="00753E8C" w:rsidP="005A07CF">
      <w:pPr>
        <w:spacing w:after="60"/>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8</w:t>
      </w:r>
      <w:r w:rsidRPr="004F0D45">
        <w:rPr>
          <w:b/>
          <w:bCs/>
          <w:i/>
          <w:iCs/>
        </w:rPr>
        <w:fldChar w:fldCharType="end"/>
      </w:r>
      <w:r w:rsidRPr="004F0D45">
        <w:rPr>
          <w:rFonts w:cstheme="minorHAnsi"/>
          <w:b/>
          <w:bCs/>
          <w:i/>
          <w:iCs/>
        </w:rPr>
        <w:t xml:space="preserve">: </w:t>
      </w:r>
      <w:r w:rsidR="00075C6C" w:rsidRPr="004F0D45">
        <w:rPr>
          <w:b/>
          <w:bCs/>
          <w:i/>
          <w:iCs/>
        </w:rPr>
        <w:fldChar w:fldCharType="begin"/>
      </w:r>
      <w:r w:rsidR="00075C6C" w:rsidRPr="004F0D45">
        <w:rPr>
          <w:rFonts w:cstheme="minorHAnsi"/>
          <w:b/>
          <w:bCs/>
          <w:i/>
          <w:iCs/>
        </w:rPr>
        <w:instrText xml:space="preserve"> REF _Ref131597098 \h </w:instrText>
      </w:r>
      <w:r w:rsidR="004F0D45">
        <w:rPr>
          <w:b/>
          <w:bCs/>
          <w:i/>
          <w:iCs/>
        </w:rPr>
        <w:instrText xml:space="preserve"> \* MERGEFORMAT </w:instrText>
      </w:r>
      <w:r w:rsidR="00075C6C" w:rsidRPr="004F0D45">
        <w:rPr>
          <w:b/>
          <w:bCs/>
          <w:i/>
          <w:iCs/>
        </w:rPr>
      </w:r>
      <w:r w:rsidR="00075C6C" w:rsidRPr="004F0D45">
        <w:rPr>
          <w:b/>
          <w:bCs/>
          <w:i/>
          <w:iCs/>
        </w:rPr>
        <w:fldChar w:fldCharType="separate"/>
      </w:r>
      <w:r w:rsidR="00F230AB" w:rsidRPr="004F0D45">
        <w:rPr>
          <w:b/>
          <w:bCs/>
          <w:i/>
          <w:iCs/>
        </w:rPr>
        <w:t xml:space="preserve">For a SBFD aware UE semi-statically configured with UL subband in </w:t>
      </w:r>
      <w:r w:rsidR="00F230AB" w:rsidRPr="004F0D45">
        <w:rPr>
          <w:rFonts w:eastAsia="Malgun Gothic"/>
          <w:b/>
          <w:bCs/>
          <w:i/>
          <w:iCs/>
          <w:lang w:eastAsia="zh-CN"/>
        </w:rPr>
        <w:t>a symbol configured as DL in TDD-UL-DL-</w:t>
      </w:r>
      <w:proofErr w:type="spellStart"/>
      <w:r w:rsidR="00F230AB" w:rsidRPr="004F0D45">
        <w:rPr>
          <w:rFonts w:eastAsia="Malgun Gothic"/>
          <w:b/>
          <w:bCs/>
          <w:i/>
          <w:iCs/>
          <w:lang w:eastAsia="zh-CN"/>
        </w:rPr>
        <w:t>ConfigCommon</w:t>
      </w:r>
      <w:proofErr w:type="spellEnd"/>
      <w:r w:rsidR="00F230AB" w:rsidRPr="004F0D45">
        <w:rPr>
          <w:b/>
          <w:bCs/>
          <w:i/>
          <w:iCs/>
        </w:rPr>
        <w:t>, support both Option 1 and Option 2.</w:t>
      </w:r>
      <w:r w:rsidR="00075C6C" w:rsidRPr="004F0D45">
        <w:rPr>
          <w:b/>
          <w:bCs/>
          <w:i/>
          <w:iCs/>
        </w:rPr>
        <w:fldChar w:fldCharType="end"/>
      </w:r>
    </w:p>
    <w:p w14:paraId="3479A62D" w14:textId="03C8862F" w:rsidR="00AA5C5C" w:rsidRPr="004F0D45" w:rsidRDefault="004A2F9C">
      <w:pPr>
        <w:pStyle w:val="ListParagraph"/>
        <w:numPr>
          <w:ilvl w:val="0"/>
          <w:numId w:val="16"/>
        </w:numPr>
        <w:spacing w:after="60"/>
        <w:ind w:left="714" w:hanging="357"/>
        <w:contextualSpacing w:val="0"/>
        <w:jc w:val="both"/>
        <w:rPr>
          <w:b/>
          <w:bCs/>
          <w:i/>
          <w:iCs/>
          <w:sz w:val="20"/>
          <w:szCs w:val="20"/>
        </w:rPr>
      </w:pPr>
      <w:r w:rsidRPr="004F0D45">
        <w:rPr>
          <w:b/>
          <w:bCs/>
          <w:i/>
          <w:iCs/>
          <w:sz w:val="20"/>
          <w:szCs w:val="20"/>
        </w:rPr>
        <w:t>Option 2 can be supported based on UE capability or can be enabled/disabled by a higher layer parameter</w:t>
      </w:r>
      <w:r w:rsidR="00AA5C5C" w:rsidRPr="004F0D45">
        <w:t xml:space="preserve">  </w:t>
      </w:r>
    </w:p>
    <w:p w14:paraId="54647969" w14:textId="00243040" w:rsidR="00AA5C5C" w:rsidRPr="004F0D45" w:rsidRDefault="00AA5C5C" w:rsidP="005A07CF">
      <w:pPr>
        <w:spacing w:after="60"/>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9</w:t>
      </w:r>
      <w:r w:rsidRPr="004F0D45">
        <w:rPr>
          <w:b/>
          <w:bCs/>
          <w:i/>
          <w:iCs/>
        </w:rPr>
        <w:fldChar w:fldCharType="end"/>
      </w:r>
      <w:r w:rsidRPr="004F0D45">
        <w:rPr>
          <w:rFonts w:cstheme="minorHAnsi"/>
          <w:b/>
          <w:bCs/>
          <w:i/>
          <w:iCs/>
        </w:rPr>
        <w:t xml:space="preserve">: </w:t>
      </w:r>
      <w:r w:rsidR="00075C6C" w:rsidRPr="004F0D45">
        <w:rPr>
          <w:b/>
          <w:bCs/>
          <w:i/>
          <w:iCs/>
        </w:rPr>
        <w:fldChar w:fldCharType="begin"/>
      </w:r>
      <w:r w:rsidR="00075C6C" w:rsidRPr="004F0D45">
        <w:rPr>
          <w:rFonts w:cstheme="minorHAnsi"/>
          <w:b/>
          <w:bCs/>
          <w:i/>
          <w:iCs/>
        </w:rPr>
        <w:instrText xml:space="preserve"> REF _Ref131597109 \h </w:instrText>
      </w:r>
      <w:r w:rsidR="004F0D45">
        <w:rPr>
          <w:b/>
          <w:bCs/>
          <w:i/>
          <w:iCs/>
        </w:rPr>
        <w:instrText xml:space="preserve"> \* MERGEFORMAT </w:instrText>
      </w:r>
      <w:r w:rsidR="00075C6C" w:rsidRPr="004F0D45">
        <w:rPr>
          <w:b/>
          <w:bCs/>
          <w:i/>
          <w:iCs/>
        </w:rPr>
      </w:r>
      <w:r w:rsidR="00075C6C" w:rsidRPr="004F0D45">
        <w:rPr>
          <w:b/>
          <w:bCs/>
          <w:i/>
          <w:iCs/>
        </w:rPr>
        <w:fldChar w:fldCharType="separate"/>
      </w:r>
      <w:r w:rsidR="00F230AB" w:rsidRPr="004F0D45">
        <w:rPr>
          <w:b/>
          <w:bCs/>
          <w:i/>
          <w:iCs/>
        </w:rPr>
        <w:t xml:space="preserve">For a SBFD aware UE semi-statically configured with UL subband in </w:t>
      </w:r>
      <w:r w:rsidR="00F230AB" w:rsidRPr="004F0D45">
        <w:rPr>
          <w:rFonts w:eastAsia="Malgun Gothic"/>
          <w:b/>
          <w:bCs/>
          <w:i/>
          <w:iCs/>
          <w:lang w:eastAsia="zh-CN"/>
        </w:rPr>
        <w:t>a symbol configured as flexible in TDD-UL-DL-</w:t>
      </w:r>
      <w:proofErr w:type="spellStart"/>
      <w:r w:rsidR="00F230AB" w:rsidRPr="004F0D45">
        <w:rPr>
          <w:rFonts w:eastAsia="Malgun Gothic"/>
          <w:b/>
          <w:bCs/>
          <w:i/>
          <w:iCs/>
          <w:lang w:eastAsia="zh-CN"/>
        </w:rPr>
        <w:t>ConfigCommon</w:t>
      </w:r>
      <w:proofErr w:type="spellEnd"/>
      <w:r w:rsidR="00F230AB" w:rsidRPr="004F0D45">
        <w:rPr>
          <w:b/>
          <w:bCs/>
          <w:i/>
          <w:iCs/>
        </w:rPr>
        <w:t>, support Option 1 and Option 3</w:t>
      </w:r>
      <w:r w:rsidR="00075C6C" w:rsidRPr="004F0D45">
        <w:rPr>
          <w:b/>
          <w:bCs/>
          <w:i/>
          <w:iCs/>
        </w:rPr>
        <w:fldChar w:fldCharType="end"/>
      </w:r>
    </w:p>
    <w:p w14:paraId="2F188184" w14:textId="6E691B3D" w:rsidR="004A2F9C" w:rsidRPr="004F0D45" w:rsidRDefault="004A2F9C">
      <w:pPr>
        <w:pStyle w:val="ListParagraph"/>
        <w:numPr>
          <w:ilvl w:val="0"/>
          <w:numId w:val="16"/>
        </w:numPr>
        <w:spacing w:after="60"/>
        <w:ind w:left="714" w:hanging="357"/>
        <w:contextualSpacing w:val="0"/>
        <w:jc w:val="both"/>
        <w:rPr>
          <w:b/>
          <w:bCs/>
          <w:i/>
          <w:iCs/>
          <w:sz w:val="20"/>
          <w:szCs w:val="20"/>
        </w:rPr>
      </w:pPr>
      <w:r w:rsidRPr="004F0D45">
        <w:rPr>
          <w:b/>
          <w:bCs/>
          <w:i/>
          <w:iCs/>
          <w:sz w:val="20"/>
          <w:szCs w:val="20"/>
        </w:rPr>
        <w:t>Option 3 can be supported based on UE capability or can be enabled/disabled by a higher layer parameter</w:t>
      </w:r>
    </w:p>
    <w:p w14:paraId="5146EF9E" w14:textId="325997EA" w:rsidR="004A2F9C" w:rsidRPr="004F0D45" w:rsidRDefault="004A2F9C">
      <w:pPr>
        <w:pStyle w:val="ListParagraph"/>
        <w:numPr>
          <w:ilvl w:val="0"/>
          <w:numId w:val="16"/>
        </w:numPr>
        <w:spacing w:after="60"/>
        <w:contextualSpacing w:val="0"/>
        <w:jc w:val="both"/>
        <w:rPr>
          <w:b/>
          <w:bCs/>
          <w:i/>
          <w:iCs/>
          <w:sz w:val="20"/>
          <w:szCs w:val="20"/>
        </w:rPr>
      </w:pPr>
      <w:r w:rsidRPr="004F0D45">
        <w:rPr>
          <w:b/>
          <w:bCs/>
          <w:i/>
          <w:iCs/>
          <w:sz w:val="20"/>
          <w:szCs w:val="20"/>
        </w:rPr>
        <w:t xml:space="preserve">Option 2 is not excluded at this stage </w:t>
      </w:r>
    </w:p>
    <w:p w14:paraId="2349FFAA" w14:textId="075BAA65" w:rsidR="00F05DF8" w:rsidRPr="004F0D45" w:rsidRDefault="00FD7271" w:rsidP="005A07CF">
      <w:pPr>
        <w:spacing w:after="60"/>
        <w:jc w:val="both"/>
        <w:rPr>
          <w:b/>
          <w:bCs/>
          <w:i/>
          <w:iCs/>
          <w:lang w:val="fi-FI"/>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F230AB" w:rsidRPr="004F0D45">
        <w:rPr>
          <w:b/>
          <w:bCs/>
          <w:i/>
          <w:iCs/>
          <w:noProof/>
        </w:rPr>
        <w:t>10</w:t>
      </w:r>
      <w:r w:rsidRPr="004F0D45">
        <w:fldChar w:fldCharType="end"/>
      </w:r>
      <w:r w:rsidRPr="004F0D45">
        <w:rPr>
          <w:rFonts w:cstheme="minorHAnsi"/>
          <w:b/>
          <w:bCs/>
          <w:i/>
          <w:iCs/>
        </w:rPr>
        <w:t xml:space="preserve">: </w:t>
      </w:r>
      <w:r w:rsidR="00D30A5D" w:rsidRPr="004F0D45">
        <w:rPr>
          <w:rFonts w:cstheme="minorHAnsi"/>
          <w:b/>
          <w:bCs/>
          <w:i/>
          <w:iCs/>
        </w:rPr>
        <w:fldChar w:fldCharType="begin"/>
      </w:r>
      <w:r w:rsidR="00D30A5D" w:rsidRPr="004F0D45">
        <w:rPr>
          <w:rFonts w:cstheme="minorHAnsi"/>
          <w:b/>
          <w:bCs/>
          <w:i/>
          <w:iCs/>
        </w:rPr>
        <w:instrText xml:space="preserve"> REF _Ref131674211 \h </w:instrText>
      </w:r>
      <w:r w:rsidR="004F0D45">
        <w:rPr>
          <w:rFonts w:cstheme="minorHAnsi"/>
          <w:b/>
          <w:bCs/>
          <w:i/>
          <w:iCs/>
        </w:rPr>
        <w:instrText xml:space="preserve"> \* MERGEFORMAT </w:instrText>
      </w:r>
      <w:r w:rsidR="00D30A5D" w:rsidRPr="004F0D45">
        <w:rPr>
          <w:rFonts w:cstheme="minorHAnsi"/>
          <w:b/>
          <w:bCs/>
          <w:i/>
          <w:iCs/>
        </w:rPr>
      </w:r>
      <w:r w:rsidR="00D30A5D" w:rsidRPr="004F0D45">
        <w:rPr>
          <w:rFonts w:cstheme="minorHAnsi"/>
          <w:b/>
          <w:bCs/>
          <w:i/>
          <w:iCs/>
        </w:rPr>
        <w:fldChar w:fldCharType="separate"/>
      </w:r>
      <w:r w:rsidR="00F230AB" w:rsidRPr="004F0D45">
        <w:rPr>
          <w:rFonts w:cstheme="minorHAnsi"/>
          <w:b/>
          <w:bCs/>
          <w:i/>
          <w:iCs/>
        </w:rPr>
        <w:t>Allow configuration of both SBFD and non-SBFD symbols within a slot.</w:t>
      </w:r>
      <w:r w:rsidR="00D30A5D" w:rsidRPr="004F0D45">
        <w:rPr>
          <w:rFonts w:cstheme="minorHAnsi"/>
          <w:b/>
          <w:bCs/>
          <w:i/>
          <w:iCs/>
        </w:rPr>
        <w:fldChar w:fldCharType="end"/>
      </w:r>
    </w:p>
    <w:p w14:paraId="3CD87E9F" w14:textId="41408FD8" w:rsidR="00F05DF8" w:rsidRPr="004F0D45" w:rsidRDefault="00B84619" w:rsidP="005A07CF">
      <w:pPr>
        <w:spacing w:after="60"/>
        <w:jc w:val="both"/>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F230AB" w:rsidRPr="004F0D45">
        <w:rPr>
          <w:b/>
          <w:bCs/>
          <w:i/>
          <w:iCs/>
          <w:noProof/>
        </w:rPr>
        <w:t>11</w:t>
      </w:r>
      <w:r w:rsidRPr="004F0D45">
        <w:fldChar w:fldCharType="end"/>
      </w:r>
      <w:r w:rsidRPr="004F0D45">
        <w:rPr>
          <w:rFonts w:cstheme="minorHAnsi"/>
          <w:b/>
          <w:bCs/>
          <w:i/>
          <w:iCs/>
        </w:rPr>
        <w:t xml:space="preserve">: </w:t>
      </w:r>
      <w:r w:rsidR="002A48E7" w:rsidRPr="004F0D45">
        <w:rPr>
          <w:rFonts w:cstheme="minorHAnsi"/>
          <w:b/>
          <w:bCs/>
          <w:i/>
          <w:iCs/>
        </w:rPr>
        <w:fldChar w:fldCharType="begin"/>
      </w:r>
      <w:r w:rsidR="002A48E7" w:rsidRPr="004F0D45">
        <w:rPr>
          <w:rFonts w:cstheme="minorHAnsi"/>
          <w:b/>
          <w:bCs/>
          <w:i/>
          <w:iCs/>
        </w:rPr>
        <w:instrText xml:space="preserve"> REF _Ref118363525 \h </w:instrText>
      </w:r>
      <w:r w:rsidR="00397FE2" w:rsidRPr="004F0D45">
        <w:rPr>
          <w:rFonts w:cstheme="minorHAnsi"/>
          <w:b/>
          <w:bCs/>
          <w:i/>
          <w:iCs/>
        </w:rPr>
        <w:instrText xml:space="preserve"> \* MERGEFORMAT </w:instrText>
      </w:r>
      <w:r w:rsidR="002A48E7" w:rsidRPr="004F0D45">
        <w:rPr>
          <w:rFonts w:cstheme="minorHAnsi"/>
          <w:b/>
          <w:bCs/>
          <w:i/>
          <w:iCs/>
        </w:rPr>
      </w:r>
      <w:r w:rsidR="002A48E7" w:rsidRPr="004F0D45">
        <w:rPr>
          <w:rFonts w:cstheme="minorHAnsi"/>
          <w:b/>
          <w:bCs/>
          <w:i/>
          <w:iCs/>
        </w:rPr>
        <w:fldChar w:fldCharType="separate"/>
      </w:r>
      <w:r w:rsidR="00F230AB" w:rsidRPr="004F0D45">
        <w:rPr>
          <w:rFonts w:cstheme="minorHAnsi"/>
          <w:b/>
          <w:bCs/>
          <w:i/>
          <w:iCs/>
        </w:rPr>
        <w:t>Do not allow overlap between SSB and SBFD symbols.</w:t>
      </w:r>
      <w:r w:rsidR="002A48E7" w:rsidRPr="004F0D45">
        <w:rPr>
          <w:rFonts w:cstheme="minorHAnsi"/>
          <w:b/>
          <w:bCs/>
          <w:i/>
          <w:iCs/>
        </w:rPr>
        <w:fldChar w:fldCharType="end"/>
      </w:r>
    </w:p>
    <w:p w14:paraId="6879E832" w14:textId="57F850B8" w:rsidR="00B84619" w:rsidRPr="004F0D45" w:rsidRDefault="00B84619" w:rsidP="005A07CF">
      <w:pPr>
        <w:spacing w:after="60"/>
        <w:jc w:val="both"/>
        <w:rPr>
          <w:rFonts w:cstheme="minorHAnsi"/>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F230AB" w:rsidRPr="004F0D45">
        <w:rPr>
          <w:b/>
          <w:bCs/>
          <w:i/>
          <w:iCs/>
          <w:noProof/>
        </w:rPr>
        <w:t>12</w:t>
      </w:r>
      <w:r w:rsidRPr="004F0D45">
        <w:rPr>
          <w:b/>
          <w:bCs/>
          <w:i/>
          <w:iCs/>
        </w:rPr>
        <w:fldChar w:fldCharType="end"/>
      </w:r>
      <w:r w:rsidRPr="004F0D45">
        <w:rPr>
          <w:rFonts w:cstheme="minorHAnsi"/>
          <w:b/>
          <w:bCs/>
          <w:i/>
          <w:iCs/>
        </w:rPr>
        <w:t xml:space="preserve">: </w:t>
      </w:r>
      <w:r w:rsidR="002A48E7" w:rsidRPr="004F0D45">
        <w:rPr>
          <w:rFonts w:cstheme="minorHAnsi"/>
          <w:b/>
          <w:bCs/>
          <w:i/>
          <w:iCs/>
        </w:rPr>
        <w:fldChar w:fldCharType="begin"/>
      </w:r>
      <w:r w:rsidR="002A48E7" w:rsidRPr="004F0D45">
        <w:rPr>
          <w:rFonts w:cstheme="minorHAnsi"/>
          <w:b/>
          <w:bCs/>
          <w:i/>
          <w:iCs/>
        </w:rPr>
        <w:instrText xml:space="preserve"> REF _Ref118363544 \h </w:instrText>
      </w:r>
      <w:r w:rsidR="00397FE2" w:rsidRPr="004F0D45">
        <w:rPr>
          <w:rFonts w:cstheme="minorHAnsi"/>
          <w:b/>
          <w:bCs/>
          <w:i/>
          <w:iCs/>
        </w:rPr>
        <w:instrText xml:space="preserve"> \* MERGEFORMAT </w:instrText>
      </w:r>
      <w:r w:rsidR="002A48E7" w:rsidRPr="004F0D45">
        <w:rPr>
          <w:rFonts w:cstheme="minorHAnsi"/>
          <w:b/>
          <w:bCs/>
          <w:i/>
          <w:iCs/>
        </w:rPr>
      </w:r>
      <w:r w:rsidR="002A48E7" w:rsidRPr="004F0D45">
        <w:rPr>
          <w:rFonts w:cstheme="minorHAnsi"/>
          <w:b/>
          <w:bCs/>
          <w:i/>
          <w:iCs/>
        </w:rPr>
        <w:fldChar w:fldCharType="separate"/>
      </w:r>
      <w:r w:rsidR="00F230AB" w:rsidRPr="004F0D45">
        <w:rPr>
          <w:rFonts w:cstheme="minorHAnsi"/>
          <w:b/>
          <w:bCs/>
          <w:i/>
          <w:iCs/>
        </w:rPr>
        <w:t>Adopt the following prioritization rules (assuming the specific collision can occur):</w:t>
      </w:r>
      <w:r w:rsidR="002A48E7" w:rsidRPr="004F0D45">
        <w:rPr>
          <w:rFonts w:cstheme="minorHAnsi"/>
          <w:b/>
          <w:bCs/>
          <w:i/>
          <w:iCs/>
        </w:rPr>
        <w:fldChar w:fldCharType="end"/>
      </w:r>
    </w:p>
    <w:p w14:paraId="27CDC505" w14:textId="77777777" w:rsidR="00B84619" w:rsidRPr="004F0D45" w:rsidRDefault="00B84619">
      <w:pPr>
        <w:pStyle w:val="ListParagraph"/>
        <w:numPr>
          <w:ilvl w:val="0"/>
          <w:numId w:val="12"/>
        </w:numPr>
        <w:tabs>
          <w:tab w:val="num" w:pos="360"/>
        </w:tabs>
        <w:spacing w:after="60"/>
        <w:contextualSpacing w:val="0"/>
        <w:jc w:val="both"/>
        <w:rPr>
          <w:b/>
          <w:bCs/>
          <w:i/>
          <w:iCs/>
          <w:sz w:val="20"/>
          <w:szCs w:val="20"/>
        </w:rPr>
      </w:pPr>
      <w:r w:rsidRPr="004F0D45">
        <w:rPr>
          <w:b/>
          <w:bCs/>
          <w:i/>
          <w:iCs/>
          <w:sz w:val="20"/>
          <w:szCs w:val="20"/>
        </w:rPr>
        <w:t xml:space="preserve">Prioritize dynamic scheduling over semi-static scheduling, except in the cases of SSB and Msg1/MsgA in CBRA. </w:t>
      </w:r>
    </w:p>
    <w:p w14:paraId="1C0C1827" w14:textId="77777777" w:rsidR="00B84619" w:rsidRPr="004F0D45" w:rsidRDefault="00B84619">
      <w:pPr>
        <w:pStyle w:val="ListParagraph"/>
        <w:numPr>
          <w:ilvl w:val="0"/>
          <w:numId w:val="12"/>
        </w:numPr>
        <w:tabs>
          <w:tab w:val="num" w:pos="360"/>
        </w:tabs>
        <w:spacing w:after="60"/>
        <w:contextualSpacing w:val="0"/>
        <w:jc w:val="both"/>
        <w:rPr>
          <w:rFonts w:cstheme="minorHAnsi"/>
          <w:b/>
          <w:bCs/>
          <w:i/>
          <w:iCs/>
          <w:sz w:val="20"/>
          <w:szCs w:val="20"/>
        </w:rPr>
      </w:pPr>
      <w:r w:rsidRPr="004F0D45">
        <w:rPr>
          <w:b/>
          <w:bCs/>
          <w:i/>
          <w:iCs/>
          <w:sz w:val="20"/>
          <w:szCs w:val="20"/>
        </w:rPr>
        <w:t>Leave prioritization to UE implementation when Msg1/MsgA in CBRA collides with reception.</w:t>
      </w:r>
    </w:p>
    <w:p w14:paraId="170740A6" w14:textId="77777777" w:rsidR="00B84619" w:rsidRPr="004F0D45" w:rsidRDefault="00B84619">
      <w:pPr>
        <w:pStyle w:val="ListParagraph"/>
        <w:numPr>
          <w:ilvl w:val="0"/>
          <w:numId w:val="12"/>
        </w:numPr>
        <w:tabs>
          <w:tab w:val="num" w:pos="360"/>
        </w:tabs>
        <w:spacing w:after="60"/>
        <w:contextualSpacing w:val="0"/>
        <w:jc w:val="both"/>
        <w:rPr>
          <w:rFonts w:cstheme="minorHAnsi"/>
          <w:b/>
          <w:bCs/>
          <w:i/>
          <w:iCs/>
          <w:sz w:val="20"/>
          <w:szCs w:val="20"/>
        </w:rPr>
      </w:pPr>
      <w:r w:rsidRPr="004F0D45">
        <w:rPr>
          <w:rFonts w:cstheme="minorHAnsi"/>
          <w:b/>
          <w:bCs/>
          <w:i/>
          <w:iCs/>
          <w:sz w:val="20"/>
          <w:szCs w:val="20"/>
        </w:rPr>
        <w:t>Prioritize SSB over semi-statically configured transmission other than Msg1/MsgA in CBRA.</w:t>
      </w:r>
    </w:p>
    <w:p w14:paraId="0C47E7CA" w14:textId="77777777" w:rsidR="00B84619" w:rsidRPr="004F0D45" w:rsidRDefault="00B84619">
      <w:pPr>
        <w:pStyle w:val="ListParagraph"/>
        <w:numPr>
          <w:ilvl w:val="0"/>
          <w:numId w:val="12"/>
        </w:numPr>
        <w:tabs>
          <w:tab w:val="num" w:pos="360"/>
        </w:tabs>
        <w:spacing w:after="60"/>
        <w:contextualSpacing w:val="0"/>
        <w:jc w:val="both"/>
        <w:rPr>
          <w:rFonts w:cstheme="minorHAnsi"/>
          <w:b/>
          <w:bCs/>
          <w:i/>
          <w:iCs/>
          <w:sz w:val="20"/>
          <w:szCs w:val="20"/>
        </w:rPr>
      </w:pPr>
      <w:r w:rsidRPr="004F0D45">
        <w:rPr>
          <w:rFonts w:cstheme="minorHAnsi"/>
          <w:b/>
          <w:bCs/>
          <w:i/>
          <w:iCs/>
          <w:sz w:val="20"/>
          <w:szCs w:val="20"/>
        </w:rPr>
        <w:t xml:space="preserve">Prioritize </w:t>
      </w:r>
      <w:r w:rsidRPr="004F0D45">
        <w:rPr>
          <w:b/>
          <w:bCs/>
          <w:i/>
          <w:iCs/>
          <w:sz w:val="20"/>
          <w:szCs w:val="20"/>
        </w:rPr>
        <w:t>monitoring PDCCH Type 0/0A/1/2 in CSS over UE dedicated semi-statically scheduled uplink transmission.</w:t>
      </w:r>
    </w:p>
    <w:p w14:paraId="3D93EECC" w14:textId="77777777" w:rsidR="00B84619" w:rsidRPr="004F0D45" w:rsidRDefault="00B84619">
      <w:pPr>
        <w:pStyle w:val="ListParagraph"/>
        <w:numPr>
          <w:ilvl w:val="0"/>
          <w:numId w:val="12"/>
        </w:numPr>
        <w:tabs>
          <w:tab w:val="num" w:pos="360"/>
        </w:tabs>
        <w:spacing w:after="60"/>
        <w:contextualSpacing w:val="0"/>
        <w:jc w:val="both"/>
        <w:rPr>
          <w:b/>
          <w:bCs/>
          <w:i/>
          <w:iCs/>
          <w:sz w:val="20"/>
          <w:szCs w:val="20"/>
          <w:lang w:val="hu-HU"/>
        </w:rPr>
      </w:pPr>
      <w:r w:rsidRPr="004F0D45">
        <w:rPr>
          <w:b/>
          <w:bCs/>
          <w:i/>
          <w:iCs/>
          <w:sz w:val="20"/>
          <w:szCs w:val="20"/>
        </w:rPr>
        <w:t>When uplink and downlink scheduling does not allow for the gurad-gap required for Tx-Rx and Rx-Tx turn-around by the standard then deprioritize one of them as if a collision have happened according to the respective rules.</w:t>
      </w:r>
    </w:p>
    <w:p w14:paraId="3AD0F134" w14:textId="16A9D9D2" w:rsidR="00501707" w:rsidRPr="004F0D45" w:rsidRDefault="00B672FD" w:rsidP="005A07CF">
      <w:pPr>
        <w:spacing w:after="60"/>
        <w:jc w:val="both"/>
        <w:rPr>
          <w:rFonts w:cstheme="minorHAnsi"/>
          <w:b/>
          <w:bCs/>
          <w:i/>
          <w:iCs/>
        </w:rPr>
      </w:pPr>
      <w:r w:rsidRPr="004F0D45">
        <w:rPr>
          <w:rFonts w:cstheme="minorHAnsi"/>
          <w:b/>
          <w:bCs/>
          <w:i/>
          <w:iCs/>
        </w:rPr>
        <w:t xml:space="preserve">Proposal </w:t>
      </w:r>
      <w:r w:rsidRPr="004F0D45">
        <w:fldChar w:fldCharType="begin"/>
      </w:r>
      <w:r w:rsidRPr="004F0D45">
        <w:rPr>
          <w:b/>
          <w:bCs/>
          <w:i/>
          <w:iCs/>
        </w:rPr>
        <w:instrText xml:space="preserve"> SEQ Proposal \* ARABIC </w:instrText>
      </w:r>
      <w:r w:rsidRPr="004F0D45">
        <w:fldChar w:fldCharType="separate"/>
      </w:r>
      <w:r w:rsidR="00F230AB" w:rsidRPr="004F0D45">
        <w:rPr>
          <w:b/>
          <w:bCs/>
          <w:i/>
          <w:iCs/>
          <w:noProof/>
        </w:rPr>
        <w:t>13</w:t>
      </w:r>
      <w:r w:rsidRPr="004F0D45">
        <w:fldChar w:fldCharType="end"/>
      </w:r>
      <w:r w:rsidRPr="004F0D45">
        <w:rPr>
          <w:rFonts w:cstheme="minorHAnsi"/>
          <w:b/>
          <w:bCs/>
          <w:i/>
          <w:iCs/>
        </w:rPr>
        <w:t xml:space="preserve">: </w:t>
      </w:r>
      <w:r w:rsidR="00501707" w:rsidRPr="004F0D45">
        <w:rPr>
          <w:rFonts w:cstheme="minorHAnsi"/>
          <w:b/>
          <w:bCs/>
          <w:i/>
          <w:iCs/>
        </w:rPr>
        <w:fldChar w:fldCharType="begin"/>
      </w:r>
      <w:r w:rsidR="00501707" w:rsidRPr="004F0D45">
        <w:rPr>
          <w:rFonts w:cstheme="minorHAnsi"/>
          <w:b/>
          <w:bCs/>
          <w:i/>
          <w:iCs/>
        </w:rPr>
        <w:instrText xml:space="preserve"> REF _Ref127187625 \h </w:instrText>
      </w:r>
      <w:r w:rsidR="00397FE2" w:rsidRPr="004F0D45">
        <w:rPr>
          <w:rFonts w:cstheme="minorHAnsi"/>
          <w:b/>
          <w:bCs/>
          <w:i/>
          <w:iCs/>
        </w:rPr>
        <w:instrText xml:space="preserve"> \* MERGEFORMAT </w:instrText>
      </w:r>
      <w:r w:rsidR="00501707" w:rsidRPr="004F0D45">
        <w:rPr>
          <w:rFonts w:cstheme="minorHAnsi"/>
          <w:b/>
          <w:bCs/>
          <w:i/>
          <w:iCs/>
        </w:rPr>
      </w:r>
      <w:r w:rsidR="00501707" w:rsidRPr="004F0D45">
        <w:rPr>
          <w:rFonts w:cstheme="minorHAnsi"/>
          <w:b/>
          <w:bCs/>
          <w:i/>
          <w:iCs/>
        </w:rPr>
        <w:fldChar w:fldCharType="separate"/>
      </w:r>
      <w:r w:rsidR="00F230AB" w:rsidRPr="004F0D45">
        <w:rPr>
          <w:rFonts w:cstheme="minorHAnsi"/>
          <w:b/>
          <w:bCs/>
          <w:i/>
          <w:iCs/>
        </w:rPr>
        <w:t>Study</w:t>
      </w:r>
      <w:r w:rsidR="00F230AB" w:rsidRPr="004F0D45">
        <w:rPr>
          <w:b/>
          <w:bCs/>
          <w:i/>
          <w:iCs/>
        </w:rPr>
        <w:t xml:space="preserve"> the feasibility of configuring valid PRACH occasions on SBFD partitioned slots/symbols</w:t>
      </w:r>
      <w:r w:rsidR="00501707" w:rsidRPr="004F0D45">
        <w:rPr>
          <w:rFonts w:cstheme="minorHAnsi"/>
          <w:b/>
          <w:bCs/>
          <w:i/>
          <w:iCs/>
        </w:rPr>
        <w:fldChar w:fldCharType="end"/>
      </w:r>
    </w:p>
    <w:p w14:paraId="1A29D093" w14:textId="5EC7321B" w:rsidR="008440C0" w:rsidRPr="004F0D45" w:rsidRDefault="008440C0" w:rsidP="005A07CF">
      <w:pPr>
        <w:spacing w:after="60"/>
        <w:jc w:val="both"/>
        <w:rPr>
          <w:b/>
          <w:bCs/>
          <w:i/>
          <w:iCs/>
        </w:rPr>
      </w:pPr>
      <w:r w:rsidRPr="004F0D45">
        <w:rPr>
          <w:rFonts w:cstheme="minorHAnsi"/>
          <w:b/>
          <w:bCs/>
          <w:i/>
          <w:iCs/>
        </w:rPr>
        <w:t xml:space="preserve">Proposal </w:t>
      </w:r>
      <w:r w:rsidRPr="004F0D45">
        <w:fldChar w:fldCharType="begin"/>
      </w:r>
      <w:r w:rsidRPr="004F0D45">
        <w:rPr>
          <w:b/>
          <w:bCs/>
          <w:i/>
          <w:iCs/>
        </w:rPr>
        <w:instrText xml:space="preserve"> SEQ Proposal \* ARABIC </w:instrText>
      </w:r>
      <w:r w:rsidRPr="004F0D45">
        <w:fldChar w:fldCharType="separate"/>
      </w:r>
      <w:r w:rsidR="00F230AB" w:rsidRPr="004F0D45">
        <w:rPr>
          <w:b/>
          <w:bCs/>
          <w:i/>
          <w:iCs/>
          <w:noProof/>
        </w:rPr>
        <w:t>14</w:t>
      </w:r>
      <w:r w:rsidRPr="004F0D45">
        <w:fldChar w:fldCharType="end"/>
      </w:r>
      <w:r w:rsidRPr="004F0D45">
        <w:rPr>
          <w:rFonts w:cstheme="minorHAnsi"/>
          <w:b/>
          <w:bCs/>
          <w:i/>
          <w:iCs/>
        </w:rPr>
        <w:t xml:space="preserve">: </w:t>
      </w:r>
      <w:r w:rsidR="002A48E7" w:rsidRPr="004F0D45">
        <w:rPr>
          <w:rFonts w:cstheme="minorHAnsi"/>
          <w:b/>
          <w:bCs/>
          <w:i/>
          <w:iCs/>
        </w:rPr>
        <w:fldChar w:fldCharType="begin"/>
      </w:r>
      <w:r w:rsidR="002A48E7" w:rsidRPr="004F0D45">
        <w:rPr>
          <w:rFonts w:cstheme="minorHAnsi"/>
          <w:b/>
          <w:bCs/>
          <w:i/>
          <w:iCs/>
        </w:rPr>
        <w:instrText xml:space="preserve"> REF _Ref118363596 \h </w:instrText>
      </w:r>
      <w:r w:rsidR="00397FE2" w:rsidRPr="004F0D45">
        <w:rPr>
          <w:rFonts w:cstheme="minorHAnsi"/>
          <w:b/>
          <w:bCs/>
          <w:i/>
          <w:iCs/>
        </w:rPr>
        <w:instrText xml:space="preserve"> \* MERGEFORMAT </w:instrText>
      </w:r>
      <w:r w:rsidR="002A48E7" w:rsidRPr="004F0D45">
        <w:rPr>
          <w:rFonts w:cstheme="minorHAnsi"/>
          <w:b/>
          <w:bCs/>
          <w:i/>
          <w:iCs/>
        </w:rPr>
      </w:r>
      <w:r w:rsidR="002A48E7" w:rsidRPr="004F0D45">
        <w:rPr>
          <w:rFonts w:cstheme="minorHAnsi"/>
          <w:b/>
          <w:bCs/>
          <w:i/>
          <w:iCs/>
        </w:rPr>
        <w:fldChar w:fldCharType="separate"/>
      </w:r>
      <w:r w:rsidR="00F230AB" w:rsidRPr="004F0D45">
        <w:rPr>
          <w:rFonts w:cstheme="minorHAnsi"/>
          <w:b/>
          <w:bCs/>
          <w:i/>
          <w:iCs/>
        </w:rPr>
        <w:t>Study enhancements to Search Space configuration which allow adaptation to SBFD partitioning.</w:t>
      </w:r>
      <w:r w:rsidR="002A48E7" w:rsidRPr="004F0D45">
        <w:rPr>
          <w:rFonts w:cstheme="minorHAnsi"/>
          <w:b/>
          <w:bCs/>
          <w:i/>
          <w:iCs/>
        </w:rPr>
        <w:fldChar w:fldCharType="end"/>
      </w:r>
    </w:p>
    <w:p w14:paraId="6EFA0298" w14:textId="3FDCCB1D" w:rsidR="008440C0" w:rsidRPr="004F0D45" w:rsidRDefault="008440C0" w:rsidP="005A07CF">
      <w:pPr>
        <w:shd w:val="clear" w:color="auto" w:fill="FFFFFF"/>
        <w:spacing w:after="60"/>
        <w:jc w:val="both"/>
        <w:rPr>
          <w:b/>
          <w:bCs/>
          <w:i/>
          <w:iCs/>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F230AB" w:rsidRPr="004F0D45">
        <w:rPr>
          <w:b/>
          <w:bCs/>
          <w:i/>
          <w:iCs/>
          <w:noProof/>
        </w:rPr>
        <w:t>15</w:t>
      </w:r>
      <w:r w:rsidRPr="004F0D45">
        <w:fldChar w:fldCharType="end"/>
      </w:r>
      <w:r w:rsidRPr="004F0D45">
        <w:rPr>
          <w:b/>
          <w:bCs/>
          <w:i/>
          <w:iCs/>
        </w:rPr>
        <w:t xml:space="preserve">: </w:t>
      </w:r>
      <w:r w:rsidR="002A48E7" w:rsidRPr="004F0D45">
        <w:rPr>
          <w:b/>
          <w:bCs/>
          <w:i/>
          <w:iCs/>
        </w:rPr>
        <w:fldChar w:fldCharType="begin"/>
      </w:r>
      <w:r w:rsidR="002A48E7" w:rsidRPr="004F0D45">
        <w:rPr>
          <w:b/>
          <w:bCs/>
          <w:i/>
          <w:iCs/>
        </w:rPr>
        <w:instrText xml:space="preserve"> REF _Ref118363617 \h </w:instrText>
      </w:r>
      <w:r w:rsidR="00397FE2" w:rsidRPr="004F0D45">
        <w:rPr>
          <w:b/>
          <w:bCs/>
          <w:i/>
          <w:iCs/>
        </w:rPr>
        <w:instrText xml:space="preserve"> \* MERGEFORMAT </w:instrText>
      </w:r>
      <w:r w:rsidR="002A48E7" w:rsidRPr="004F0D45">
        <w:rPr>
          <w:b/>
          <w:bCs/>
          <w:i/>
          <w:iCs/>
        </w:rPr>
      </w:r>
      <w:r w:rsidR="002A48E7" w:rsidRPr="004F0D45">
        <w:rPr>
          <w:b/>
          <w:bCs/>
          <w:i/>
          <w:iCs/>
        </w:rPr>
        <w:fldChar w:fldCharType="separate"/>
      </w:r>
      <w:r w:rsidR="00F230AB" w:rsidRPr="004F0D45">
        <w:rPr>
          <w:b/>
          <w:bCs/>
          <w:i/>
          <w:iCs/>
        </w:rPr>
        <w:t>Support allocation of fractional RBGs in Type-0 FDRA at DL subband boundaries, i.e., part of the DL RBG inside the DL subband can be used.</w:t>
      </w:r>
      <w:r w:rsidR="002A48E7" w:rsidRPr="004F0D45">
        <w:rPr>
          <w:b/>
          <w:bCs/>
          <w:i/>
          <w:iCs/>
        </w:rPr>
        <w:fldChar w:fldCharType="end"/>
      </w:r>
    </w:p>
    <w:p w14:paraId="77EDBAB0" w14:textId="64A552B4" w:rsidR="008440C0" w:rsidRPr="004F0D45" w:rsidRDefault="008440C0" w:rsidP="005A07CF">
      <w:pPr>
        <w:shd w:val="clear" w:color="auto" w:fill="FFFFFF"/>
        <w:spacing w:after="60"/>
        <w:jc w:val="both"/>
        <w:rPr>
          <w:b/>
          <w:bCs/>
          <w:i/>
          <w:iCs/>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F230AB" w:rsidRPr="004F0D45">
        <w:rPr>
          <w:b/>
          <w:bCs/>
          <w:i/>
          <w:iCs/>
          <w:noProof/>
        </w:rPr>
        <w:t>16</w:t>
      </w:r>
      <w:r w:rsidRPr="004F0D45">
        <w:fldChar w:fldCharType="end"/>
      </w:r>
      <w:r w:rsidRPr="004F0D45">
        <w:rPr>
          <w:b/>
          <w:bCs/>
          <w:i/>
          <w:iCs/>
        </w:rPr>
        <w:t xml:space="preserve">: </w:t>
      </w:r>
      <w:r w:rsidR="002A48E7" w:rsidRPr="004F0D45">
        <w:rPr>
          <w:b/>
          <w:bCs/>
          <w:i/>
          <w:iCs/>
        </w:rPr>
        <w:fldChar w:fldCharType="begin"/>
      </w:r>
      <w:r w:rsidR="002A48E7" w:rsidRPr="004F0D45">
        <w:rPr>
          <w:b/>
          <w:bCs/>
          <w:i/>
          <w:iCs/>
        </w:rPr>
        <w:instrText xml:space="preserve"> REF _Ref118363630 \h </w:instrText>
      </w:r>
      <w:r w:rsidR="00397FE2" w:rsidRPr="004F0D45">
        <w:rPr>
          <w:b/>
          <w:bCs/>
          <w:i/>
          <w:iCs/>
        </w:rPr>
        <w:instrText xml:space="preserve"> \* MERGEFORMAT </w:instrText>
      </w:r>
      <w:r w:rsidR="002A48E7" w:rsidRPr="004F0D45">
        <w:rPr>
          <w:b/>
          <w:bCs/>
          <w:i/>
          <w:iCs/>
        </w:rPr>
      </w:r>
      <w:r w:rsidR="002A48E7" w:rsidRPr="004F0D45">
        <w:rPr>
          <w:b/>
          <w:bCs/>
          <w:i/>
          <w:iCs/>
        </w:rPr>
        <w:fldChar w:fldCharType="separate"/>
      </w:r>
      <w:r w:rsidR="00F230AB" w:rsidRPr="004F0D45">
        <w:rPr>
          <w:b/>
          <w:bCs/>
          <w:i/>
          <w:iCs/>
        </w:rPr>
        <w:t>Support interleaved mapping of odd and even VRBs over physical RBGs allocated using Type-0 FDRA.</w:t>
      </w:r>
      <w:r w:rsidR="002A48E7" w:rsidRPr="004F0D45">
        <w:rPr>
          <w:b/>
          <w:bCs/>
          <w:i/>
          <w:iCs/>
        </w:rPr>
        <w:fldChar w:fldCharType="end"/>
      </w:r>
    </w:p>
    <w:p w14:paraId="47803B38" w14:textId="3070ACEB" w:rsidR="002823D5" w:rsidRPr="004F0D45" w:rsidRDefault="002823D5" w:rsidP="002823D5">
      <w:pPr>
        <w:shd w:val="clear" w:color="auto" w:fill="FFFFFF"/>
        <w:spacing w:after="120"/>
        <w:jc w:val="both"/>
        <w:rPr>
          <w:b/>
          <w:bCs/>
          <w:i/>
          <w:iCs/>
          <w:color w:val="000000" w:themeColor="text1"/>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F230AB" w:rsidRPr="004F0D45">
        <w:rPr>
          <w:b/>
          <w:bCs/>
          <w:i/>
          <w:iCs/>
          <w:noProof/>
        </w:rPr>
        <w:t>17</w:t>
      </w:r>
      <w:r w:rsidRPr="004F0D45">
        <w:fldChar w:fldCharType="end"/>
      </w:r>
      <w:r w:rsidRPr="004F0D45">
        <w:t xml:space="preserve">: </w:t>
      </w:r>
      <w:r w:rsidR="009929FB" w:rsidRPr="004F0D45">
        <w:rPr>
          <w:b/>
          <w:bCs/>
          <w:i/>
          <w:iCs/>
          <w:color w:val="000000" w:themeColor="text1"/>
        </w:rPr>
        <w:fldChar w:fldCharType="begin"/>
      </w:r>
      <w:r w:rsidR="009929FB" w:rsidRPr="004F0D45">
        <w:instrText xml:space="preserve"> REF _Ref134110576 \h </w:instrText>
      </w:r>
      <w:r w:rsidR="009929FB" w:rsidRPr="004F0D45">
        <w:rPr>
          <w:b/>
          <w:bCs/>
          <w:i/>
          <w:iCs/>
          <w:color w:val="000000" w:themeColor="text1"/>
        </w:rPr>
        <w:instrText xml:space="preserve"> \* MERGEFORMAT </w:instrText>
      </w:r>
      <w:r w:rsidR="009929FB" w:rsidRPr="004F0D45">
        <w:rPr>
          <w:b/>
          <w:bCs/>
          <w:i/>
          <w:iCs/>
          <w:color w:val="000000" w:themeColor="text1"/>
        </w:rPr>
      </w:r>
      <w:r w:rsidR="009929FB" w:rsidRPr="004F0D45">
        <w:rPr>
          <w:b/>
          <w:bCs/>
          <w:i/>
          <w:iCs/>
          <w:color w:val="000000" w:themeColor="text1"/>
        </w:rPr>
        <w:fldChar w:fldCharType="separate"/>
      </w:r>
      <w:r w:rsidR="00F230AB" w:rsidRPr="004F0D45">
        <w:rPr>
          <w:b/>
          <w:bCs/>
          <w:i/>
          <w:iCs/>
          <w:color w:val="000000" w:themeColor="text1"/>
        </w:rPr>
        <w:t>For Type-1 FDRA support RB allocation across non-contiguous DL subbands</w:t>
      </w:r>
      <w:r w:rsidR="009929FB" w:rsidRPr="004F0D45">
        <w:rPr>
          <w:b/>
          <w:bCs/>
          <w:i/>
          <w:iCs/>
          <w:color w:val="000000" w:themeColor="text1"/>
        </w:rPr>
        <w:fldChar w:fldCharType="end"/>
      </w:r>
    </w:p>
    <w:p w14:paraId="6D431C8A" w14:textId="40474282" w:rsidR="00107D41" w:rsidRPr="004F0D45" w:rsidRDefault="00107D41" w:rsidP="002823D5">
      <w:pPr>
        <w:pStyle w:val="ListParagraph"/>
        <w:numPr>
          <w:ilvl w:val="0"/>
          <w:numId w:val="23"/>
        </w:numPr>
        <w:shd w:val="clear" w:color="auto" w:fill="FFFFFF"/>
        <w:spacing w:after="120"/>
        <w:jc w:val="both"/>
        <w:rPr>
          <w:i/>
          <w:iCs/>
          <w:color w:val="000000" w:themeColor="text1"/>
          <w:sz w:val="20"/>
          <w:szCs w:val="20"/>
        </w:rPr>
      </w:pPr>
      <w:r w:rsidRPr="004F0D45">
        <w:rPr>
          <w:b/>
          <w:bCs/>
          <w:i/>
          <w:iCs/>
          <w:color w:val="000000" w:themeColor="text1"/>
          <w:sz w:val="20"/>
          <w:szCs w:val="20"/>
        </w:rPr>
        <w:lastRenderedPageBreak/>
        <w:t>For this case support renumbering/reindexing of VRBs (or PRBs), excluding RBs that fall outside the DL subbands.</w:t>
      </w:r>
      <w:r w:rsidRPr="004F0D45">
        <w:rPr>
          <w:i/>
          <w:iCs/>
          <w:color w:val="000000" w:themeColor="text1"/>
          <w:sz w:val="20"/>
          <w:szCs w:val="20"/>
        </w:rPr>
        <w:t xml:space="preserve">  </w:t>
      </w:r>
    </w:p>
    <w:p w14:paraId="028E934B" w14:textId="68775A08" w:rsidR="002823D5" w:rsidRPr="004F0D45" w:rsidRDefault="002823D5" w:rsidP="005A07CF">
      <w:pPr>
        <w:shd w:val="clear" w:color="auto" w:fill="FFFFFF"/>
        <w:spacing w:after="60"/>
        <w:jc w:val="both"/>
        <w:rPr>
          <w:b/>
          <w:bCs/>
          <w:i/>
          <w:iCs/>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F230AB" w:rsidRPr="004F0D45">
        <w:rPr>
          <w:b/>
          <w:bCs/>
          <w:i/>
          <w:iCs/>
          <w:noProof/>
        </w:rPr>
        <w:t>18</w:t>
      </w:r>
      <w:r w:rsidRPr="004F0D45">
        <w:fldChar w:fldCharType="end"/>
      </w:r>
      <w:r w:rsidRPr="004F0D45">
        <w:t xml:space="preserve">: </w:t>
      </w:r>
      <w:r w:rsidR="009929FB" w:rsidRPr="004F0D45">
        <w:rPr>
          <w:b/>
          <w:bCs/>
          <w:i/>
          <w:iCs/>
          <w:color w:val="000000" w:themeColor="text1"/>
        </w:rPr>
        <w:fldChar w:fldCharType="begin"/>
      </w:r>
      <w:r w:rsidR="009929FB" w:rsidRPr="004F0D45">
        <w:instrText xml:space="preserve"> REF _Ref134110607 \h </w:instrText>
      </w:r>
      <w:r w:rsidR="009929FB" w:rsidRPr="004F0D45">
        <w:rPr>
          <w:b/>
          <w:bCs/>
          <w:i/>
          <w:iCs/>
          <w:color w:val="000000" w:themeColor="text1"/>
        </w:rPr>
        <w:instrText xml:space="preserve"> \* MERGEFORMAT </w:instrText>
      </w:r>
      <w:r w:rsidR="009929FB" w:rsidRPr="004F0D45">
        <w:rPr>
          <w:b/>
          <w:bCs/>
          <w:i/>
          <w:iCs/>
          <w:color w:val="000000" w:themeColor="text1"/>
        </w:rPr>
      </w:r>
      <w:r w:rsidR="009929FB" w:rsidRPr="004F0D45">
        <w:rPr>
          <w:b/>
          <w:bCs/>
          <w:i/>
          <w:iCs/>
          <w:color w:val="000000" w:themeColor="text1"/>
        </w:rPr>
        <w:fldChar w:fldCharType="separate"/>
      </w:r>
      <w:r w:rsidR="00F230AB" w:rsidRPr="004F0D45">
        <w:rPr>
          <w:b/>
          <w:bCs/>
          <w:i/>
          <w:iCs/>
          <w:color w:val="000000" w:themeColor="text1"/>
        </w:rPr>
        <w:t>Allow reinterpretation/reuse of FDRA bit field in scheduling DCI to reflect the reindexing of VRBs/PRBs</w:t>
      </w:r>
      <w:r w:rsidR="009929FB" w:rsidRPr="004F0D45">
        <w:rPr>
          <w:b/>
          <w:bCs/>
          <w:i/>
          <w:iCs/>
          <w:color w:val="000000" w:themeColor="text1"/>
        </w:rPr>
        <w:fldChar w:fldCharType="end"/>
      </w:r>
    </w:p>
    <w:p w14:paraId="291A0E4E" w14:textId="4B716F8B" w:rsidR="00742993" w:rsidRPr="004F0D45" w:rsidRDefault="00A201CE" w:rsidP="005A07CF">
      <w:pPr>
        <w:shd w:val="clear" w:color="auto" w:fill="FFFFFF"/>
        <w:spacing w:after="60"/>
        <w:jc w:val="both"/>
        <w:rPr>
          <w:b/>
          <w:bCs/>
          <w:i/>
          <w:iCs/>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F230AB" w:rsidRPr="004F0D45">
        <w:rPr>
          <w:b/>
          <w:bCs/>
          <w:i/>
          <w:iCs/>
          <w:noProof/>
        </w:rPr>
        <w:t>19</w:t>
      </w:r>
      <w:r w:rsidRPr="004F0D45">
        <w:fldChar w:fldCharType="end"/>
      </w:r>
      <w:r w:rsidRPr="004F0D45">
        <w:t xml:space="preserve">: </w:t>
      </w:r>
      <w:r w:rsidR="00742993" w:rsidRPr="004F0D45">
        <w:rPr>
          <w:b/>
          <w:bCs/>
          <w:i/>
          <w:iCs/>
        </w:rPr>
        <w:fldChar w:fldCharType="begin"/>
      </w:r>
      <w:r w:rsidR="00742993" w:rsidRPr="004F0D45">
        <w:instrText xml:space="preserve"> REF _Ref131537623 \h </w:instrText>
      </w:r>
      <w:r w:rsidR="005D664D" w:rsidRPr="004F0D45">
        <w:rPr>
          <w:b/>
          <w:bCs/>
          <w:i/>
          <w:iCs/>
        </w:rPr>
        <w:instrText xml:space="preserve"> \* MERGEFORMAT </w:instrText>
      </w:r>
      <w:r w:rsidR="00742993" w:rsidRPr="004F0D45">
        <w:rPr>
          <w:b/>
          <w:bCs/>
          <w:i/>
          <w:iCs/>
        </w:rPr>
      </w:r>
      <w:r w:rsidR="00742993" w:rsidRPr="004F0D45">
        <w:rPr>
          <w:b/>
          <w:bCs/>
          <w:i/>
          <w:iCs/>
        </w:rPr>
        <w:fldChar w:fldCharType="separate"/>
      </w:r>
      <w:r w:rsidR="00F230AB" w:rsidRPr="004F0D45">
        <w:rPr>
          <w:b/>
          <w:bCs/>
          <w:i/>
          <w:iCs/>
        </w:rPr>
        <w:t>Support allocation of fractional PRGs at DL subband boundaries when using PRG bundling for PDSCH</w:t>
      </w:r>
      <w:r w:rsidR="00742993" w:rsidRPr="004F0D45">
        <w:rPr>
          <w:b/>
          <w:bCs/>
          <w:i/>
          <w:iCs/>
        </w:rPr>
        <w:fldChar w:fldCharType="end"/>
      </w:r>
      <w:r w:rsidR="00A6269E" w:rsidRPr="004F0D45">
        <w:rPr>
          <w:b/>
          <w:bCs/>
          <w:i/>
          <w:iCs/>
        </w:rPr>
        <w:t>, i.e., part of the DL PRG inside the DL subband can be used.</w:t>
      </w:r>
    </w:p>
    <w:p w14:paraId="69FE993E" w14:textId="62A49F6F" w:rsidR="00004E45" w:rsidRPr="004F0D45" w:rsidRDefault="00004E45" w:rsidP="005A07CF">
      <w:pPr>
        <w:shd w:val="clear" w:color="auto" w:fill="FFFFFF"/>
        <w:spacing w:after="60"/>
        <w:jc w:val="both"/>
        <w:rPr>
          <w:b/>
          <w:bCs/>
          <w:i/>
          <w:iCs/>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F230AB" w:rsidRPr="004F0D45">
        <w:rPr>
          <w:b/>
          <w:bCs/>
          <w:i/>
          <w:iCs/>
          <w:noProof/>
        </w:rPr>
        <w:t>20</w:t>
      </w:r>
      <w:r w:rsidRPr="004F0D45">
        <w:fldChar w:fldCharType="end"/>
      </w:r>
      <w:r w:rsidRPr="004F0D45">
        <w:t xml:space="preserve">: </w:t>
      </w:r>
      <w:r w:rsidR="00B73F2C" w:rsidRPr="004F0D45">
        <w:rPr>
          <w:b/>
          <w:bCs/>
          <w:i/>
          <w:iCs/>
        </w:rPr>
        <w:fldChar w:fldCharType="begin"/>
      </w:r>
      <w:r w:rsidR="00B73F2C" w:rsidRPr="004F0D45">
        <w:instrText xml:space="preserve"> REF _Ref134110737 \h </w:instrText>
      </w:r>
      <w:r w:rsidR="004F0D45">
        <w:rPr>
          <w:b/>
          <w:bCs/>
          <w:i/>
          <w:iCs/>
        </w:rPr>
        <w:instrText xml:space="preserve"> \* MERGEFORMAT </w:instrText>
      </w:r>
      <w:r w:rsidR="00B73F2C" w:rsidRPr="004F0D45">
        <w:rPr>
          <w:b/>
          <w:bCs/>
          <w:i/>
          <w:iCs/>
        </w:rPr>
      </w:r>
      <w:r w:rsidR="00B73F2C" w:rsidRPr="004F0D45">
        <w:rPr>
          <w:b/>
          <w:bCs/>
          <w:i/>
          <w:iCs/>
        </w:rPr>
        <w:fldChar w:fldCharType="separate"/>
      </w:r>
      <w:r w:rsidR="00F230AB" w:rsidRPr="004F0D45">
        <w:rPr>
          <w:b/>
          <w:bCs/>
          <w:i/>
          <w:iCs/>
        </w:rPr>
        <w:t>Support Option 1 (non-contiguous frequency resources across two DL subbands can be allowed) when PRG is determined as wideband.</w:t>
      </w:r>
      <w:r w:rsidR="00B73F2C" w:rsidRPr="004F0D45">
        <w:rPr>
          <w:b/>
          <w:bCs/>
          <w:i/>
          <w:iCs/>
        </w:rPr>
        <w:fldChar w:fldCharType="end"/>
      </w:r>
    </w:p>
    <w:p w14:paraId="7DAAEB36" w14:textId="0853A2F4" w:rsidR="00A201CE" w:rsidRPr="004F0D45" w:rsidRDefault="00A201CE" w:rsidP="005A07CF">
      <w:pPr>
        <w:shd w:val="clear" w:color="auto" w:fill="FFFFFF"/>
        <w:spacing w:after="60"/>
        <w:jc w:val="both"/>
        <w:rPr>
          <w:b/>
          <w:bCs/>
          <w:i/>
          <w:iCs/>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F230AB" w:rsidRPr="004F0D45">
        <w:rPr>
          <w:b/>
          <w:bCs/>
          <w:i/>
          <w:iCs/>
          <w:noProof/>
        </w:rPr>
        <w:t>21</w:t>
      </w:r>
      <w:r w:rsidRPr="004F0D45">
        <w:fldChar w:fldCharType="end"/>
      </w:r>
      <w:r w:rsidRPr="004F0D45">
        <w:t xml:space="preserve">: </w:t>
      </w:r>
      <w:r w:rsidR="00742993" w:rsidRPr="004F0D45">
        <w:rPr>
          <w:b/>
          <w:bCs/>
          <w:i/>
          <w:iCs/>
        </w:rPr>
        <w:fldChar w:fldCharType="begin"/>
      </w:r>
      <w:r w:rsidR="00742993" w:rsidRPr="004F0D45">
        <w:instrText xml:space="preserve"> REF _Ref131537668 \h </w:instrText>
      </w:r>
      <w:r w:rsidR="005D664D" w:rsidRPr="004F0D45">
        <w:rPr>
          <w:b/>
          <w:bCs/>
          <w:i/>
          <w:iCs/>
        </w:rPr>
        <w:instrText xml:space="preserve"> \* MERGEFORMAT </w:instrText>
      </w:r>
      <w:r w:rsidR="00742993" w:rsidRPr="004F0D45">
        <w:rPr>
          <w:b/>
          <w:bCs/>
          <w:i/>
          <w:iCs/>
        </w:rPr>
      </w:r>
      <w:r w:rsidR="00742993" w:rsidRPr="004F0D45">
        <w:rPr>
          <w:b/>
          <w:bCs/>
          <w:i/>
          <w:iCs/>
        </w:rPr>
        <w:fldChar w:fldCharType="separate"/>
      </w:r>
      <w:r w:rsidR="00F230AB" w:rsidRPr="004F0D45">
        <w:rPr>
          <w:b/>
          <w:bCs/>
          <w:i/>
          <w:iCs/>
        </w:rPr>
        <w:t>Support at least Option 1 (two contiguous CSI-RS resources that are linked</w:t>
      </w:r>
      <w:r w:rsidR="00742993" w:rsidRPr="004F0D45">
        <w:rPr>
          <w:b/>
          <w:bCs/>
          <w:i/>
          <w:iCs/>
        </w:rPr>
        <w:fldChar w:fldCharType="end"/>
      </w:r>
      <w:r w:rsidR="00DA043A" w:rsidRPr="004F0D45">
        <w:rPr>
          <w:b/>
          <w:bCs/>
          <w:i/>
          <w:iCs/>
        </w:rPr>
        <w:t xml:space="preserve">) for CSI-RS resource configuration. Option 2 is not excluded at this stage.   </w:t>
      </w:r>
    </w:p>
    <w:p w14:paraId="4B9A752F" w14:textId="45B50913" w:rsidR="00A201CE" w:rsidRPr="004F0D45" w:rsidRDefault="00A201CE" w:rsidP="005A07CF">
      <w:pPr>
        <w:shd w:val="clear" w:color="auto" w:fill="FFFFFF"/>
        <w:spacing w:after="60"/>
        <w:jc w:val="both"/>
        <w:rPr>
          <w:b/>
          <w:bCs/>
          <w:i/>
          <w:iCs/>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F230AB" w:rsidRPr="004F0D45">
        <w:rPr>
          <w:b/>
          <w:bCs/>
          <w:i/>
          <w:iCs/>
          <w:noProof/>
        </w:rPr>
        <w:t>22</w:t>
      </w:r>
      <w:r w:rsidRPr="004F0D45">
        <w:fldChar w:fldCharType="end"/>
      </w:r>
      <w:r w:rsidRPr="004F0D45">
        <w:t xml:space="preserve">: </w:t>
      </w:r>
      <w:r w:rsidR="00742993" w:rsidRPr="004F0D45">
        <w:rPr>
          <w:b/>
          <w:bCs/>
          <w:i/>
          <w:iCs/>
        </w:rPr>
        <w:fldChar w:fldCharType="begin"/>
      </w:r>
      <w:r w:rsidR="00742993" w:rsidRPr="004F0D45">
        <w:instrText xml:space="preserve"> REF _Ref131537687 \h </w:instrText>
      </w:r>
      <w:r w:rsidR="005D664D" w:rsidRPr="004F0D45">
        <w:rPr>
          <w:b/>
          <w:bCs/>
          <w:i/>
          <w:iCs/>
        </w:rPr>
        <w:instrText xml:space="preserve"> \* MERGEFORMAT </w:instrText>
      </w:r>
      <w:r w:rsidR="00742993" w:rsidRPr="004F0D45">
        <w:rPr>
          <w:b/>
          <w:bCs/>
          <w:i/>
          <w:iCs/>
        </w:rPr>
      </w:r>
      <w:r w:rsidR="00742993" w:rsidRPr="004F0D45">
        <w:rPr>
          <w:b/>
          <w:bCs/>
          <w:i/>
          <w:iCs/>
        </w:rPr>
        <w:fldChar w:fldCharType="separate"/>
      </w:r>
      <w:r w:rsidR="00F230AB" w:rsidRPr="004F0D45">
        <w:rPr>
          <w:b/>
          <w:bCs/>
          <w:i/>
          <w:iCs/>
        </w:rPr>
        <w:t xml:space="preserve">Support Option 1-1 for CSI report associated with periodic/semi-persistent CSI-RS.   </w:t>
      </w:r>
      <w:r w:rsidR="00742993" w:rsidRPr="004F0D45">
        <w:rPr>
          <w:b/>
          <w:bCs/>
          <w:i/>
          <w:iCs/>
        </w:rPr>
        <w:fldChar w:fldCharType="end"/>
      </w:r>
    </w:p>
    <w:p w14:paraId="2C71FBC9" w14:textId="0A657B1A" w:rsidR="00B672FD" w:rsidRPr="004F0D45" w:rsidRDefault="00B672FD" w:rsidP="005A07CF">
      <w:pPr>
        <w:shd w:val="clear" w:color="auto" w:fill="FFFFFF"/>
        <w:spacing w:after="60"/>
        <w:jc w:val="both"/>
        <w:rPr>
          <w:b/>
          <w:bCs/>
          <w:i/>
          <w:iCs/>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F230AB" w:rsidRPr="004F0D45">
        <w:rPr>
          <w:b/>
          <w:bCs/>
          <w:i/>
          <w:iCs/>
          <w:noProof/>
        </w:rPr>
        <w:t>23</w:t>
      </w:r>
      <w:r w:rsidRPr="004F0D45">
        <w:fldChar w:fldCharType="end"/>
      </w:r>
      <w:r w:rsidRPr="004F0D45">
        <w:rPr>
          <w:b/>
          <w:bCs/>
          <w:i/>
          <w:iCs/>
        </w:rPr>
        <w:t xml:space="preserve">: </w:t>
      </w:r>
      <w:r w:rsidR="00501707" w:rsidRPr="004F0D45">
        <w:rPr>
          <w:b/>
          <w:bCs/>
          <w:i/>
          <w:iCs/>
        </w:rPr>
        <w:fldChar w:fldCharType="begin"/>
      </w:r>
      <w:r w:rsidR="00501707" w:rsidRPr="004F0D45">
        <w:rPr>
          <w:b/>
          <w:bCs/>
          <w:i/>
          <w:iCs/>
        </w:rPr>
        <w:instrText xml:space="preserve"> REF _Ref127456608 \h </w:instrText>
      </w:r>
      <w:r w:rsidR="00397FE2" w:rsidRPr="004F0D45">
        <w:rPr>
          <w:b/>
          <w:bCs/>
          <w:i/>
          <w:iCs/>
        </w:rPr>
        <w:instrText xml:space="preserve"> \* MERGEFORMAT </w:instrText>
      </w:r>
      <w:r w:rsidR="00501707" w:rsidRPr="004F0D45">
        <w:rPr>
          <w:b/>
          <w:bCs/>
          <w:i/>
          <w:iCs/>
        </w:rPr>
      </w:r>
      <w:r w:rsidR="00501707" w:rsidRPr="004F0D45">
        <w:rPr>
          <w:b/>
          <w:bCs/>
          <w:i/>
          <w:iCs/>
        </w:rPr>
        <w:fldChar w:fldCharType="separate"/>
      </w:r>
      <w:r w:rsidR="00F230AB" w:rsidRPr="004F0D45">
        <w:rPr>
          <w:b/>
          <w:bCs/>
          <w:i/>
          <w:iCs/>
        </w:rPr>
        <w:t>Study the feasibility of enabling two MCSs based on slot type</w:t>
      </w:r>
      <w:r w:rsidR="00501707" w:rsidRPr="004F0D45">
        <w:rPr>
          <w:b/>
          <w:bCs/>
          <w:i/>
          <w:iCs/>
        </w:rPr>
        <w:fldChar w:fldCharType="end"/>
      </w:r>
    </w:p>
    <w:p w14:paraId="0EFE8240" w14:textId="78BAE3BB" w:rsidR="00BA79C5" w:rsidRPr="004F0D45" w:rsidRDefault="00CF7E96" w:rsidP="005A07CF">
      <w:pPr>
        <w:shd w:val="clear" w:color="auto" w:fill="FFFFFF"/>
        <w:spacing w:after="60"/>
        <w:jc w:val="both"/>
        <w:rPr>
          <w:b/>
          <w:bCs/>
          <w:i/>
          <w:iCs/>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F230AB" w:rsidRPr="004F0D45">
        <w:rPr>
          <w:b/>
          <w:bCs/>
          <w:i/>
          <w:iCs/>
          <w:noProof/>
        </w:rPr>
        <w:t>24</w:t>
      </w:r>
      <w:r w:rsidRPr="004F0D45">
        <w:fldChar w:fldCharType="end"/>
      </w:r>
      <w:r w:rsidRPr="004F0D45">
        <w:rPr>
          <w:b/>
          <w:bCs/>
          <w:i/>
          <w:iCs/>
        </w:rPr>
        <w:t xml:space="preserve">: </w:t>
      </w:r>
      <w:r w:rsidR="00BA79C5" w:rsidRPr="004F0D45">
        <w:rPr>
          <w:b/>
          <w:bCs/>
          <w:i/>
          <w:iCs/>
        </w:rPr>
        <w:fldChar w:fldCharType="begin"/>
      </w:r>
      <w:r w:rsidR="00BA79C5" w:rsidRPr="004F0D45">
        <w:rPr>
          <w:b/>
          <w:bCs/>
          <w:i/>
          <w:iCs/>
        </w:rPr>
        <w:instrText xml:space="preserve"> REF _Ref127193375 \h </w:instrText>
      </w:r>
      <w:r w:rsidR="00397FE2" w:rsidRPr="004F0D45">
        <w:rPr>
          <w:b/>
          <w:bCs/>
          <w:i/>
          <w:iCs/>
        </w:rPr>
        <w:instrText xml:space="preserve"> \* MERGEFORMAT </w:instrText>
      </w:r>
      <w:r w:rsidR="00BA79C5" w:rsidRPr="004F0D45">
        <w:rPr>
          <w:b/>
          <w:bCs/>
          <w:i/>
          <w:iCs/>
        </w:rPr>
      </w:r>
      <w:r w:rsidR="00BA79C5" w:rsidRPr="004F0D45">
        <w:rPr>
          <w:b/>
          <w:bCs/>
          <w:i/>
          <w:iCs/>
        </w:rPr>
        <w:fldChar w:fldCharType="separate"/>
      </w:r>
      <w:r w:rsidR="00F230AB" w:rsidRPr="004F0D45">
        <w:rPr>
          <w:b/>
          <w:bCs/>
          <w:i/>
          <w:iCs/>
        </w:rPr>
        <w:t>Support separate FDRA for multi-slot UL transmissions (e.g., CG PUSCH, DG PUSCH repetition, TBoMS, periodic/semi-persistent PUCCH, periodic/semi-persistent SRS, PUCCH repetition) based on slot type.</w:t>
      </w:r>
      <w:r w:rsidR="00BA79C5" w:rsidRPr="004F0D45">
        <w:rPr>
          <w:b/>
          <w:bCs/>
          <w:i/>
          <w:iCs/>
        </w:rPr>
        <w:fldChar w:fldCharType="end"/>
      </w:r>
    </w:p>
    <w:p w14:paraId="3E3D2E19" w14:textId="3250670D" w:rsidR="00CF7E96" w:rsidRPr="004F0D45" w:rsidRDefault="00CF7E96" w:rsidP="005A07CF">
      <w:pPr>
        <w:shd w:val="clear" w:color="auto" w:fill="FFFFFF"/>
        <w:spacing w:after="60"/>
        <w:jc w:val="both"/>
        <w:rPr>
          <w:b/>
          <w:bCs/>
          <w:i/>
          <w:iCs/>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F230AB" w:rsidRPr="004F0D45">
        <w:rPr>
          <w:b/>
          <w:bCs/>
          <w:i/>
          <w:iCs/>
          <w:noProof/>
        </w:rPr>
        <w:t>25</w:t>
      </w:r>
      <w:r w:rsidRPr="004F0D45">
        <w:fldChar w:fldCharType="end"/>
      </w:r>
      <w:r w:rsidRPr="004F0D45">
        <w:rPr>
          <w:b/>
          <w:bCs/>
          <w:i/>
          <w:iCs/>
        </w:rPr>
        <w:t xml:space="preserve">: </w:t>
      </w:r>
      <w:r w:rsidR="00BA79C5" w:rsidRPr="004F0D45">
        <w:rPr>
          <w:b/>
          <w:bCs/>
          <w:i/>
          <w:iCs/>
        </w:rPr>
        <w:fldChar w:fldCharType="begin"/>
      </w:r>
      <w:r w:rsidR="00BA79C5" w:rsidRPr="004F0D45">
        <w:rPr>
          <w:b/>
          <w:bCs/>
          <w:i/>
          <w:iCs/>
        </w:rPr>
        <w:instrText xml:space="preserve"> REF _Ref127193412 \h </w:instrText>
      </w:r>
      <w:r w:rsidR="00397FE2" w:rsidRPr="004F0D45">
        <w:rPr>
          <w:b/>
          <w:bCs/>
          <w:i/>
          <w:iCs/>
        </w:rPr>
        <w:instrText xml:space="preserve"> \* MERGEFORMAT </w:instrText>
      </w:r>
      <w:r w:rsidR="00BA79C5" w:rsidRPr="004F0D45">
        <w:rPr>
          <w:b/>
          <w:bCs/>
          <w:i/>
          <w:iCs/>
        </w:rPr>
      </w:r>
      <w:r w:rsidR="00BA79C5" w:rsidRPr="004F0D45">
        <w:rPr>
          <w:b/>
          <w:bCs/>
          <w:i/>
          <w:iCs/>
        </w:rPr>
        <w:fldChar w:fldCharType="separate"/>
      </w:r>
      <w:r w:rsidR="00F230AB" w:rsidRPr="004F0D45">
        <w:rPr>
          <w:b/>
          <w:bCs/>
          <w:i/>
          <w:iCs/>
        </w:rPr>
        <w:t>For multi-slot UL transmissions (</w:t>
      </w:r>
      <w:r w:rsidR="00F230AB" w:rsidRPr="004F0D45">
        <w:rPr>
          <w:b/>
          <w:bCs/>
          <w:i/>
          <w:iCs/>
          <w:lang w:eastAsia="en-GB"/>
        </w:rPr>
        <w:t xml:space="preserve">e.g., CG PUSCH, DG PUSCH repetition, TBoMS, </w:t>
      </w:r>
      <w:r w:rsidR="00F230AB" w:rsidRPr="004F0D45">
        <w:rPr>
          <w:b/>
          <w:bCs/>
          <w:i/>
          <w:iCs/>
        </w:rPr>
        <w:t>periodic/semi-persistent PUCCH, periodic/semi-persistent SRS</w:t>
      </w:r>
      <w:r w:rsidR="00F230AB" w:rsidRPr="004F0D45">
        <w:rPr>
          <w:b/>
          <w:bCs/>
          <w:i/>
          <w:iCs/>
          <w:lang w:eastAsia="en-GB"/>
        </w:rPr>
        <w:t>, PUCCH repetition), support skipping/omission of transmissions that occur</w:t>
      </w:r>
      <w:r w:rsidR="00F230AB" w:rsidRPr="004F0D45">
        <w:rPr>
          <w:b/>
          <w:bCs/>
          <w:i/>
          <w:iCs/>
        </w:rPr>
        <w:t xml:space="preserve"> in</w:t>
      </w:r>
      <w:r w:rsidR="00F230AB" w:rsidRPr="004F0D45">
        <w:rPr>
          <w:b/>
          <w:bCs/>
          <w:i/>
          <w:iCs/>
          <w:lang w:eastAsia="en-GB"/>
        </w:rPr>
        <w:t xml:space="preserve"> </w:t>
      </w:r>
      <w:r w:rsidR="00F230AB" w:rsidRPr="004F0D45">
        <w:rPr>
          <w:b/>
          <w:bCs/>
          <w:i/>
          <w:iCs/>
        </w:rPr>
        <w:t>SBFD</w:t>
      </w:r>
      <w:r w:rsidR="00F230AB" w:rsidRPr="004F0D45">
        <w:rPr>
          <w:b/>
          <w:bCs/>
          <w:i/>
          <w:iCs/>
          <w:lang w:eastAsia="en-GB"/>
        </w:rPr>
        <w:t xml:space="preserve"> slots/symbols.</w:t>
      </w:r>
      <w:r w:rsidR="00BA79C5" w:rsidRPr="004F0D45">
        <w:rPr>
          <w:b/>
          <w:bCs/>
          <w:i/>
          <w:iCs/>
        </w:rPr>
        <w:fldChar w:fldCharType="end"/>
      </w:r>
    </w:p>
    <w:p w14:paraId="38B32686" w14:textId="7C551F3C" w:rsidR="007B2E1A" w:rsidRPr="004F0D45" w:rsidRDefault="007B2E1A" w:rsidP="005A07CF">
      <w:pPr>
        <w:spacing w:after="60"/>
        <w:jc w:val="both"/>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F230AB" w:rsidRPr="004F0D45">
        <w:rPr>
          <w:b/>
          <w:bCs/>
          <w:i/>
          <w:iCs/>
          <w:noProof/>
        </w:rPr>
        <w:t>26</w:t>
      </w:r>
      <w:r w:rsidRPr="004F0D45">
        <w:fldChar w:fldCharType="end"/>
      </w:r>
      <w:r w:rsidRPr="004F0D45">
        <w:rPr>
          <w:b/>
          <w:bCs/>
          <w:i/>
          <w:iCs/>
        </w:rPr>
        <w:t xml:space="preserve">: </w:t>
      </w:r>
      <w:r w:rsidR="003643D2" w:rsidRPr="004F0D45">
        <w:rPr>
          <w:b/>
          <w:bCs/>
          <w:i/>
          <w:iCs/>
          <w:lang w:eastAsia="en-GB"/>
        </w:rPr>
        <w:fldChar w:fldCharType="begin"/>
      </w:r>
      <w:r w:rsidR="003643D2" w:rsidRPr="004F0D45">
        <w:rPr>
          <w:b/>
          <w:bCs/>
          <w:i/>
          <w:iCs/>
        </w:rPr>
        <w:instrText xml:space="preserve"> REF _Ref118363748 \h </w:instrText>
      </w:r>
      <w:r w:rsidR="00397FE2" w:rsidRPr="004F0D45">
        <w:rPr>
          <w:b/>
          <w:bCs/>
          <w:i/>
          <w:iCs/>
          <w:lang w:eastAsia="en-GB"/>
        </w:rPr>
        <w:instrText xml:space="preserve"> \* MERGEFORMAT </w:instrText>
      </w:r>
      <w:r w:rsidR="003643D2" w:rsidRPr="004F0D45">
        <w:rPr>
          <w:b/>
          <w:bCs/>
          <w:i/>
          <w:iCs/>
          <w:lang w:eastAsia="en-GB"/>
        </w:rPr>
      </w:r>
      <w:r w:rsidR="003643D2" w:rsidRPr="004F0D45">
        <w:rPr>
          <w:b/>
          <w:bCs/>
          <w:i/>
          <w:iCs/>
          <w:lang w:eastAsia="en-GB"/>
        </w:rPr>
        <w:fldChar w:fldCharType="separate"/>
      </w:r>
      <w:r w:rsidR="00F230AB" w:rsidRPr="004F0D45">
        <w:rPr>
          <w:b/>
          <w:bCs/>
          <w:i/>
          <w:iCs/>
          <w:lang w:eastAsia="en-GB"/>
        </w:rPr>
        <w:t xml:space="preserve">Modify the frequency hopping procedure for PUSCH </w:t>
      </w:r>
      <w:r w:rsidR="00F230AB" w:rsidRPr="004F0D45">
        <w:rPr>
          <w:b/>
          <w:bCs/>
          <w:i/>
          <w:iCs/>
        </w:rPr>
        <w:t xml:space="preserve">and </w:t>
      </w:r>
      <w:r w:rsidR="00F230AB" w:rsidRPr="004F0D45">
        <w:rPr>
          <w:b/>
          <w:bCs/>
          <w:i/>
          <w:iCs/>
          <w:lang w:eastAsia="en-GB"/>
        </w:rPr>
        <w:t>SRS to ensure that the frequency domain position is confined within the UL-SB in the SBFD slots</w:t>
      </w:r>
      <w:r w:rsidR="003643D2" w:rsidRPr="004F0D45">
        <w:rPr>
          <w:b/>
          <w:bCs/>
          <w:i/>
          <w:iCs/>
          <w:lang w:eastAsia="en-GB"/>
        </w:rPr>
        <w:fldChar w:fldCharType="end"/>
      </w:r>
    </w:p>
    <w:p w14:paraId="10710845" w14:textId="3C29457C" w:rsidR="007B2E1A" w:rsidRPr="004F0D45" w:rsidRDefault="007B2E1A" w:rsidP="005A07CF">
      <w:pPr>
        <w:shd w:val="clear" w:color="auto" w:fill="FFFFFF"/>
        <w:spacing w:after="60"/>
        <w:jc w:val="both"/>
        <w:rPr>
          <w:b/>
          <w:bCs/>
          <w:i/>
          <w:iCs/>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F230AB" w:rsidRPr="004F0D45">
        <w:rPr>
          <w:b/>
          <w:bCs/>
          <w:i/>
          <w:iCs/>
          <w:noProof/>
        </w:rPr>
        <w:t>27</w:t>
      </w:r>
      <w:r w:rsidRPr="004F0D45">
        <w:fldChar w:fldCharType="end"/>
      </w:r>
      <w:r w:rsidRPr="004F0D45">
        <w:rPr>
          <w:b/>
          <w:bCs/>
          <w:i/>
          <w:iCs/>
        </w:rPr>
        <w:t xml:space="preserve">: </w:t>
      </w:r>
      <w:r w:rsidR="003643D2" w:rsidRPr="004F0D45">
        <w:rPr>
          <w:b/>
          <w:bCs/>
          <w:i/>
          <w:iCs/>
        </w:rPr>
        <w:fldChar w:fldCharType="begin"/>
      </w:r>
      <w:r w:rsidR="003643D2" w:rsidRPr="004F0D45">
        <w:rPr>
          <w:b/>
          <w:bCs/>
          <w:i/>
          <w:iCs/>
        </w:rPr>
        <w:instrText xml:space="preserve"> REF _Ref118363775 \h </w:instrText>
      </w:r>
      <w:r w:rsidR="00397FE2" w:rsidRPr="004F0D45">
        <w:rPr>
          <w:b/>
          <w:bCs/>
          <w:i/>
          <w:iCs/>
        </w:rPr>
        <w:instrText xml:space="preserve"> \* MERGEFORMAT </w:instrText>
      </w:r>
      <w:r w:rsidR="003643D2" w:rsidRPr="004F0D45">
        <w:rPr>
          <w:b/>
          <w:bCs/>
          <w:i/>
          <w:iCs/>
        </w:rPr>
      </w:r>
      <w:r w:rsidR="003643D2" w:rsidRPr="004F0D45">
        <w:rPr>
          <w:b/>
          <w:bCs/>
          <w:i/>
          <w:iCs/>
        </w:rPr>
        <w:fldChar w:fldCharType="separate"/>
      </w:r>
      <w:r w:rsidR="00F230AB" w:rsidRPr="004F0D45">
        <w:rPr>
          <w:b/>
          <w:bCs/>
          <w:i/>
          <w:iCs/>
        </w:rPr>
        <w:t>Support separate frequency domain resource allocations for intra-slot and inter-slot frequency hopping for PUCCH transmission based on slot type</w:t>
      </w:r>
      <w:r w:rsidR="003643D2" w:rsidRPr="004F0D45">
        <w:rPr>
          <w:b/>
          <w:bCs/>
          <w:i/>
          <w:iCs/>
        </w:rPr>
        <w:fldChar w:fldCharType="end"/>
      </w:r>
    </w:p>
    <w:p w14:paraId="5790C59F" w14:textId="38F82841" w:rsidR="003643D2" w:rsidRPr="004F0D45" w:rsidRDefault="007B2E1A" w:rsidP="005A07CF">
      <w:pPr>
        <w:shd w:val="clear" w:color="auto" w:fill="FFFFFF"/>
        <w:spacing w:after="60"/>
        <w:jc w:val="both"/>
        <w:rPr>
          <w:b/>
          <w:bCs/>
          <w:i/>
          <w:iCs/>
          <w:lang w:eastAsia="en-GB"/>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F230AB" w:rsidRPr="004F0D45">
        <w:rPr>
          <w:b/>
          <w:bCs/>
          <w:i/>
          <w:iCs/>
          <w:noProof/>
        </w:rPr>
        <w:t>28</w:t>
      </w:r>
      <w:r w:rsidRPr="004F0D45">
        <w:fldChar w:fldCharType="end"/>
      </w:r>
      <w:r w:rsidRPr="004F0D45">
        <w:rPr>
          <w:b/>
          <w:bCs/>
          <w:i/>
          <w:iCs/>
        </w:rPr>
        <w:t xml:space="preserve">: </w:t>
      </w:r>
      <w:r w:rsidR="003643D2" w:rsidRPr="004F0D45">
        <w:rPr>
          <w:b/>
          <w:bCs/>
          <w:i/>
          <w:iCs/>
          <w:lang w:eastAsia="en-GB"/>
        </w:rPr>
        <w:fldChar w:fldCharType="begin"/>
      </w:r>
      <w:r w:rsidR="003643D2" w:rsidRPr="004F0D45">
        <w:rPr>
          <w:b/>
          <w:bCs/>
          <w:i/>
          <w:iCs/>
        </w:rPr>
        <w:instrText xml:space="preserve"> REF _Ref118363790 \h </w:instrText>
      </w:r>
      <w:r w:rsidR="00397FE2" w:rsidRPr="004F0D45">
        <w:rPr>
          <w:b/>
          <w:bCs/>
          <w:i/>
          <w:iCs/>
          <w:lang w:eastAsia="en-GB"/>
        </w:rPr>
        <w:instrText xml:space="preserve"> \* MERGEFORMAT </w:instrText>
      </w:r>
      <w:r w:rsidR="003643D2" w:rsidRPr="004F0D45">
        <w:rPr>
          <w:b/>
          <w:bCs/>
          <w:i/>
          <w:iCs/>
          <w:lang w:eastAsia="en-GB"/>
        </w:rPr>
      </w:r>
      <w:r w:rsidR="003643D2" w:rsidRPr="004F0D45">
        <w:rPr>
          <w:b/>
          <w:bCs/>
          <w:i/>
          <w:iCs/>
          <w:lang w:eastAsia="en-GB"/>
        </w:rPr>
        <w:fldChar w:fldCharType="separate"/>
      </w:r>
      <w:r w:rsidR="00F230AB" w:rsidRPr="004F0D45">
        <w:rPr>
          <w:b/>
          <w:bCs/>
          <w:i/>
          <w:iCs/>
          <w:lang w:eastAsia="en-GB"/>
        </w:rPr>
        <w:t>Support PUSCH/PUCCH/SRS frequency hopping only in the non-SBFD slots for inter-slot</w:t>
      </w:r>
      <w:r w:rsidR="00F230AB" w:rsidRPr="004F0D45">
        <w:rPr>
          <w:b/>
          <w:bCs/>
          <w:i/>
          <w:iCs/>
        </w:rPr>
        <w:t xml:space="preserve"> </w:t>
      </w:r>
      <w:r w:rsidR="00F230AB" w:rsidRPr="004F0D45">
        <w:rPr>
          <w:b/>
          <w:bCs/>
          <w:i/>
          <w:iCs/>
          <w:lang w:eastAsia="en-GB"/>
        </w:rPr>
        <w:t>frequency hopping</w:t>
      </w:r>
      <w:r w:rsidR="00F230AB" w:rsidRPr="004F0D45">
        <w:rPr>
          <w:b/>
          <w:bCs/>
          <w:i/>
          <w:iCs/>
        </w:rPr>
        <w:t>.</w:t>
      </w:r>
      <w:r w:rsidR="003643D2" w:rsidRPr="004F0D45">
        <w:rPr>
          <w:b/>
          <w:bCs/>
          <w:i/>
          <w:iCs/>
          <w:lang w:eastAsia="en-GB"/>
        </w:rPr>
        <w:fldChar w:fldCharType="end"/>
      </w:r>
    </w:p>
    <w:p w14:paraId="7917CAC9" w14:textId="2EB137C4" w:rsidR="0046478F" w:rsidRPr="004F0D45" w:rsidRDefault="0046478F" w:rsidP="005A07CF">
      <w:pPr>
        <w:spacing w:after="60"/>
        <w:jc w:val="both"/>
        <w:rPr>
          <w:b/>
          <w:bCs/>
          <w:i/>
          <w:iCs/>
          <w:lang w:eastAsia="en-GB"/>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F230AB" w:rsidRPr="004F0D45">
        <w:rPr>
          <w:b/>
          <w:bCs/>
          <w:i/>
          <w:iCs/>
          <w:noProof/>
        </w:rPr>
        <w:t>29</w:t>
      </w:r>
      <w:r w:rsidRPr="004F0D45">
        <w:fldChar w:fldCharType="end"/>
      </w:r>
      <w:r w:rsidRPr="004F0D45">
        <w:rPr>
          <w:b/>
          <w:bCs/>
          <w:i/>
          <w:iCs/>
        </w:rPr>
        <w:t xml:space="preserve">: </w:t>
      </w:r>
      <w:r w:rsidR="003643D2" w:rsidRPr="004F0D45">
        <w:rPr>
          <w:b/>
          <w:bCs/>
          <w:i/>
          <w:iCs/>
          <w:lang w:eastAsia="en-GB"/>
        </w:rPr>
        <w:fldChar w:fldCharType="begin"/>
      </w:r>
      <w:r w:rsidR="003643D2" w:rsidRPr="004F0D45">
        <w:rPr>
          <w:b/>
          <w:bCs/>
          <w:i/>
          <w:iCs/>
        </w:rPr>
        <w:instrText xml:space="preserve"> REF _Ref118363851 \h </w:instrText>
      </w:r>
      <w:r w:rsidR="00397FE2" w:rsidRPr="004F0D45">
        <w:rPr>
          <w:b/>
          <w:bCs/>
          <w:i/>
          <w:iCs/>
          <w:lang w:eastAsia="en-GB"/>
        </w:rPr>
        <w:instrText xml:space="preserve"> \* MERGEFORMAT </w:instrText>
      </w:r>
      <w:r w:rsidR="003643D2" w:rsidRPr="004F0D45">
        <w:rPr>
          <w:b/>
          <w:bCs/>
          <w:i/>
          <w:iCs/>
          <w:lang w:eastAsia="en-GB"/>
        </w:rPr>
      </w:r>
      <w:r w:rsidR="003643D2" w:rsidRPr="004F0D45">
        <w:rPr>
          <w:b/>
          <w:bCs/>
          <w:i/>
          <w:iCs/>
          <w:lang w:eastAsia="en-GB"/>
        </w:rPr>
        <w:fldChar w:fldCharType="separate"/>
      </w:r>
      <w:r w:rsidR="00F230AB" w:rsidRPr="004F0D45">
        <w:rPr>
          <w:b/>
          <w:bCs/>
          <w:i/>
          <w:iCs/>
          <w:lang w:eastAsia="en-GB"/>
        </w:rPr>
        <w:t xml:space="preserve">To avoid the problem of PUSCH fragmentation in SBFD systems, support the option of configuring separate FDRA for SBFD and non-SBFD slots/symbols. </w:t>
      </w:r>
      <w:r w:rsidR="003643D2" w:rsidRPr="004F0D45">
        <w:rPr>
          <w:b/>
          <w:bCs/>
          <w:i/>
          <w:iCs/>
          <w:lang w:eastAsia="en-GB"/>
        </w:rPr>
        <w:fldChar w:fldCharType="end"/>
      </w:r>
    </w:p>
    <w:p w14:paraId="7A85D3D6" w14:textId="60855D20" w:rsidR="006673F1" w:rsidRPr="004F0D45" w:rsidRDefault="002F715E" w:rsidP="00E06EC9">
      <w:pPr>
        <w:spacing w:before="120" w:after="120"/>
        <w:jc w:val="both"/>
        <w:rPr>
          <w:b/>
          <w:bCs/>
          <w:i/>
          <w:iCs/>
          <w:lang w:eastAsia="en-GB"/>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F230AB" w:rsidRPr="004F0D45">
        <w:rPr>
          <w:b/>
          <w:bCs/>
          <w:i/>
          <w:iCs/>
          <w:noProof/>
        </w:rPr>
        <w:t>30</w:t>
      </w:r>
      <w:r w:rsidRPr="004F0D45">
        <w:fldChar w:fldCharType="end"/>
      </w:r>
      <w:r w:rsidRPr="004F0D45">
        <w:t xml:space="preserve">: </w:t>
      </w:r>
      <w:r w:rsidR="006673F1" w:rsidRPr="004F0D45">
        <w:rPr>
          <w:b/>
          <w:bCs/>
          <w:i/>
          <w:iCs/>
          <w:lang w:eastAsia="en-GB"/>
        </w:rPr>
        <w:fldChar w:fldCharType="begin"/>
      </w:r>
      <w:r w:rsidR="006673F1" w:rsidRPr="004F0D45">
        <w:instrText xml:space="preserve"> REF _Ref134715292 \h </w:instrText>
      </w:r>
      <w:r w:rsidR="004F0D45">
        <w:rPr>
          <w:b/>
          <w:bCs/>
          <w:i/>
          <w:iCs/>
          <w:lang w:eastAsia="en-GB"/>
        </w:rPr>
        <w:instrText xml:space="preserve"> \* MERGEFORMAT </w:instrText>
      </w:r>
      <w:r w:rsidR="006673F1" w:rsidRPr="004F0D45">
        <w:rPr>
          <w:b/>
          <w:bCs/>
          <w:i/>
          <w:iCs/>
          <w:lang w:eastAsia="en-GB"/>
        </w:rPr>
      </w:r>
      <w:r w:rsidR="006673F1" w:rsidRPr="004F0D45">
        <w:rPr>
          <w:b/>
          <w:bCs/>
          <w:i/>
          <w:iCs/>
          <w:lang w:eastAsia="en-GB"/>
        </w:rPr>
        <w:fldChar w:fldCharType="separate"/>
      </w:r>
      <w:r w:rsidR="00F230AB" w:rsidRPr="004F0D45">
        <w:rPr>
          <w:b/>
          <w:bCs/>
          <w:i/>
          <w:iCs/>
          <w:lang w:eastAsia="en-GB"/>
        </w:rPr>
        <w:t xml:space="preserve">For SBFD operation, </w:t>
      </w:r>
      <w:r w:rsidR="00F230AB" w:rsidRPr="004F0D45">
        <w:rPr>
          <w:b/>
          <w:bCs/>
          <w:i/>
          <w:iCs/>
        </w:rPr>
        <w:t>apply the same timing alignment</w:t>
      </w:r>
      <w:r w:rsidR="00F230AB" w:rsidRPr="004F0D45">
        <w:t xml:space="preserve"> </w:t>
      </w:r>
      <w:r w:rsidR="00F230AB" w:rsidRPr="004F0D45">
        <w:rPr>
          <w:b/>
          <w:bCs/>
          <w:i/>
          <w:iCs/>
        </w:rPr>
        <w:t>across SBFD and non-SBFD slots/symbols.</w:t>
      </w:r>
      <w:r w:rsidR="006673F1" w:rsidRPr="004F0D45">
        <w:rPr>
          <w:b/>
          <w:bCs/>
          <w:i/>
          <w:iCs/>
          <w:lang w:eastAsia="en-GB"/>
        </w:rPr>
        <w:fldChar w:fldCharType="end"/>
      </w:r>
    </w:p>
    <w:p w14:paraId="701C787E" w14:textId="7752702F" w:rsidR="002F715E" w:rsidRPr="004F0D45" w:rsidRDefault="002F715E" w:rsidP="00E06EC9">
      <w:pPr>
        <w:spacing w:before="120" w:after="120"/>
        <w:jc w:val="both"/>
        <w:rPr>
          <w:b/>
          <w:bCs/>
          <w:i/>
          <w:iCs/>
          <w:lang w:eastAsia="en-GB"/>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F230AB" w:rsidRPr="004F0D45">
        <w:rPr>
          <w:b/>
          <w:bCs/>
          <w:i/>
          <w:iCs/>
          <w:noProof/>
        </w:rPr>
        <w:t>31</w:t>
      </w:r>
      <w:r w:rsidRPr="004F0D45">
        <w:fldChar w:fldCharType="end"/>
      </w:r>
      <w:r w:rsidRPr="004F0D45">
        <w:t xml:space="preserve">: </w:t>
      </w:r>
      <w:r w:rsidR="00AC427B" w:rsidRPr="004F0D45">
        <w:rPr>
          <w:b/>
          <w:bCs/>
          <w:i/>
          <w:iCs/>
          <w:color w:val="000000" w:themeColor="text1"/>
        </w:rPr>
        <w:fldChar w:fldCharType="begin"/>
      </w:r>
      <w:r w:rsidR="00AC427B" w:rsidRPr="004F0D45">
        <w:instrText xml:space="preserve"> REF _Ref134715331 \h </w:instrText>
      </w:r>
      <w:r w:rsidR="004F0D45">
        <w:rPr>
          <w:b/>
          <w:bCs/>
          <w:i/>
          <w:iCs/>
          <w:color w:val="000000" w:themeColor="text1"/>
        </w:rPr>
        <w:instrText xml:space="preserve"> \* MERGEFORMAT </w:instrText>
      </w:r>
      <w:r w:rsidR="00AC427B" w:rsidRPr="004F0D45">
        <w:rPr>
          <w:b/>
          <w:bCs/>
          <w:i/>
          <w:iCs/>
          <w:color w:val="000000" w:themeColor="text1"/>
        </w:rPr>
      </w:r>
      <w:r w:rsidR="00AC427B" w:rsidRPr="004F0D45">
        <w:rPr>
          <w:b/>
          <w:bCs/>
          <w:i/>
          <w:iCs/>
          <w:color w:val="000000" w:themeColor="text1"/>
        </w:rPr>
        <w:fldChar w:fldCharType="separate"/>
      </w:r>
      <w:r w:rsidR="00F230AB" w:rsidRPr="004F0D45">
        <w:rPr>
          <w:b/>
          <w:bCs/>
          <w:i/>
          <w:iCs/>
          <w:lang w:eastAsia="en-GB"/>
        </w:rPr>
        <w:t xml:space="preserve">Allow </w:t>
      </w:r>
      <w:r w:rsidR="00F230AB" w:rsidRPr="004F0D45">
        <w:rPr>
          <w:b/>
          <w:bCs/>
          <w:i/>
          <w:iCs/>
          <w:color w:val="000000" w:themeColor="text1"/>
        </w:rPr>
        <w:t>muting the first UL symbol in the first SBFD slot after a non-SBFD (DL-only) slot.</w:t>
      </w:r>
      <w:r w:rsidR="00AC427B" w:rsidRPr="004F0D45">
        <w:rPr>
          <w:b/>
          <w:bCs/>
          <w:i/>
          <w:iCs/>
          <w:color w:val="000000" w:themeColor="text1"/>
        </w:rPr>
        <w:fldChar w:fldCharType="end"/>
      </w:r>
    </w:p>
    <w:p w14:paraId="627BEDEA" w14:textId="0A00260C" w:rsidR="00BC78D4" w:rsidRPr="004F0D45" w:rsidRDefault="00BC78D4" w:rsidP="00E06EC9">
      <w:pPr>
        <w:spacing w:before="120" w:after="120"/>
        <w:jc w:val="both"/>
        <w:rPr>
          <w:b/>
          <w:bCs/>
          <w:i/>
          <w:iCs/>
          <w:lang w:eastAsia="da-DK"/>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F230AB" w:rsidRPr="004F0D45">
        <w:rPr>
          <w:b/>
          <w:bCs/>
          <w:i/>
          <w:iCs/>
          <w:noProof/>
        </w:rPr>
        <w:t>32</w:t>
      </w:r>
      <w:r w:rsidRPr="004F0D45">
        <w:fldChar w:fldCharType="end"/>
      </w:r>
      <w:r w:rsidRPr="004F0D45">
        <w:rPr>
          <w:b/>
          <w:bCs/>
          <w:i/>
          <w:iCs/>
        </w:rPr>
        <w:t xml:space="preserve">: </w:t>
      </w:r>
      <w:r w:rsidR="00742993" w:rsidRPr="004F0D45">
        <w:rPr>
          <w:b/>
          <w:bCs/>
          <w:i/>
          <w:iCs/>
          <w:lang w:eastAsia="da-DK"/>
        </w:rPr>
        <w:fldChar w:fldCharType="begin"/>
      </w:r>
      <w:r w:rsidR="00742993" w:rsidRPr="004F0D45">
        <w:rPr>
          <w:b/>
          <w:bCs/>
          <w:i/>
          <w:iCs/>
        </w:rPr>
        <w:instrText xml:space="preserve"> REF _Ref118368128 \h </w:instrText>
      </w:r>
      <w:r w:rsidR="005D664D" w:rsidRPr="004F0D45">
        <w:rPr>
          <w:b/>
          <w:bCs/>
          <w:i/>
          <w:iCs/>
          <w:lang w:eastAsia="da-DK"/>
        </w:rPr>
        <w:instrText xml:space="preserve"> \* MERGEFORMAT </w:instrText>
      </w:r>
      <w:r w:rsidR="00742993" w:rsidRPr="004F0D45">
        <w:rPr>
          <w:b/>
          <w:bCs/>
          <w:i/>
          <w:iCs/>
          <w:lang w:eastAsia="da-DK"/>
        </w:rPr>
      </w:r>
      <w:r w:rsidR="00742993" w:rsidRPr="004F0D45">
        <w:rPr>
          <w:b/>
          <w:bCs/>
          <w:i/>
          <w:iCs/>
          <w:lang w:eastAsia="da-DK"/>
        </w:rPr>
        <w:fldChar w:fldCharType="separate"/>
      </w:r>
      <w:r w:rsidR="00F230AB" w:rsidRPr="004F0D45">
        <w:rPr>
          <w:b/>
          <w:bCs/>
          <w:i/>
          <w:iCs/>
          <w:lang w:eastAsia="da-DK"/>
        </w:rPr>
        <w:t>Study whether SRS-RSRP-based ranking of UE aggressor candidates is sufficient for the optimization of UL-DL inter-subband CLI.</w:t>
      </w:r>
      <w:r w:rsidR="00742993" w:rsidRPr="004F0D45">
        <w:rPr>
          <w:b/>
          <w:bCs/>
          <w:i/>
          <w:iCs/>
          <w:lang w:eastAsia="da-DK"/>
        </w:rPr>
        <w:fldChar w:fldCharType="end"/>
      </w:r>
    </w:p>
    <w:p w14:paraId="004A0BAF" w14:textId="784708EF" w:rsidR="00BC78D4" w:rsidRPr="004F0D45" w:rsidRDefault="00BC78D4" w:rsidP="005A07CF">
      <w:pPr>
        <w:spacing w:after="60"/>
        <w:jc w:val="both"/>
        <w:rPr>
          <w:b/>
          <w:bCs/>
          <w:i/>
          <w:iCs/>
          <w:lang w:eastAsia="da-DK"/>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F230AB" w:rsidRPr="004F0D45">
        <w:rPr>
          <w:b/>
          <w:bCs/>
          <w:i/>
          <w:iCs/>
          <w:noProof/>
        </w:rPr>
        <w:t>33</w:t>
      </w:r>
      <w:r w:rsidRPr="004F0D45">
        <w:fldChar w:fldCharType="end"/>
      </w:r>
      <w:r w:rsidRPr="004F0D45">
        <w:rPr>
          <w:b/>
          <w:bCs/>
          <w:i/>
          <w:iCs/>
        </w:rPr>
        <w:t xml:space="preserve">: </w:t>
      </w:r>
      <w:r w:rsidR="00742993" w:rsidRPr="004F0D45">
        <w:rPr>
          <w:b/>
          <w:bCs/>
          <w:i/>
          <w:iCs/>
          <w:lang w:eastAsia="da-DK"/>
        </w:rPr>
        <w:fldChar w:fldCharType="begin"/>
      </w:r>
      <w:r w:rsidR="00742993" w:rsidRPr="004F0D45">
        <w:rPr>
          <w:b/>
          <w:bCs/>
          <w:i/>
          <w:iCs/>
        </w:rPr>
        <w:instrText xml:space="preserve"> REF _Ref118368151 \h </w:instrText>
      </w:r>
      <w:r w:rsidR="005D664D" w:rsidRPr="004F0D45">
        <w:rPr>
          <w:b/>
          <w:bCs/>
          <w:i/>
          <w:iCs/>
          <w:lang w:eastAsia="da-DK"/>
        </w:rPr>
        <w:instrText xml:space="preserve"> \* MERGEFORMAT </w:instrText>
      </w:r>
      <w:r w:rsidR="00742993" w:rsidRPr="004F0D45">
        <w:rPr>
          <w:b/>
          <w:bCs/>
          <w:i/>
          <w:iCs/>
          <w:lang w:eastAsia="da-DK"/>
        </w:rPr>
      </w:r>
      <w:r w:rsidR="00742993" w:rsidRPr="004F0D45">
        <w:rPr>
          <w:b/>
          <w:bCs/>
          <w:i/>
          <w:iCs/>
          <w:lang w:eastAsia="da-DK"/>
        </w:rPr>
        <w:fldChar w:fldCharType="separate"/>
      </w:r>
      <w:r w:rsidR="00F230AB" w:rsidRPr="004F0D45">
        <w:rPr>
          <w:b/>
          <w:bCs/>
          <w:i/>
          <w:iCs/>
          <w:lang w:eastAsia="da-DK"/>
        </w:rPr>
        <w:t>Study the feasibility and cost of muting co-channel interferer for the assessment of inter-subband UE CLI using CLI-RSSI measurements.</w:t>
      </w:r>
      <w:r w:rsidR="00742993" w:rsidRPr="004F0D45">
        <w:rPr>
          <w:b/>
          <w:bCs/>
          <w:i/>
          <w:iCs/>
          <w:lang w:eastAsia="da-DK"/>
        </w:rPr>
        <w:fldChar w:fldCharType="end"/>
      </w:r>
    </w:p>
    <w:p w14:paraId="12CD5405" w14:textId="271EE3AB" w:rsidR="00BC78D4" w:rsidRPr="004F0D45" w:rsidRDefault="00BC78D4" w:rsidP="005A07CF">
      <w:pPr>
        <w:spacing w:after="60"/>
        <w:jc w:val="both"/>
        <w:rPr>
          <w:b/>
          <w:bCs/>
          <w:i/>
          <w:iCs/>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F230AB" w:rsidRPr="004F0D45">
        <w:rPr>
          <w:b/>
          <w:bCs/>
          <w:i/>
          <w:iCs/>
          <w:noProof/>
        </w:rPr>
        <w:t>34</w:t>
      </w:r>
      <w:r w:rsidRPr="004F0D45">
        <w:fldChar w:fldCharType="end"/>
      </w:r>
      <w:r w:rsidRPr="004F0D45">
        <w:rPr>
          <w:b/>
          <w:bCs/>
          <w:i/>
          <w:iCs/>
        </w:rPr>
        <w:t xml:space="preserve">: </w:t>
      </w:r>
      <w:r w:rsidR="00742993" w:rsidRPr="004F0D45">
        <w:rPr>
          <w:b/>
          <w:bCs/>
          <w:i/>
          <w:iCs/>
        </w:rPr>
        <w:fldChar w:fldCharType="begin"/>
      </w:r>
      <w:r w:rsidR="00742993" w:rsidRPr="004F0D45">
        <w:rPr>
          <w:b/>
          <w:bCs/>
          <w:i/>
          <w:iCs/>
        </w:rPr>
        <w:instrText xml:space="preserve"> REF _Ref118368162 \h </w:instrText>
      </w:r>
      <w:r w:rsidR="005D664D" w:rsidRPr="004F0D45">
        <w:rPr>
          <w:b/>
          <w:bCs/>
          <w:i/>
          <w:iCs/>
        </w:rPr>
        <w:instrText xml:space="preserve"> \* MERGEFORMAT </w:instrText>
      </w:r>
      <w:r w:rsidR="00742993" w:rsidRPr="004F0D45">
        <w:rPr>
          <w:b/>
          <w:bCs/>
          <w:i/>
          <w:iCs/>
        </w:rPr>
      </w:r>
      <w:r w:rsidR="00742993" w:rsidRPr="004F0D45">
        <w:rPr>
          <w:b/>
          <w:bCs/>
          <w:i/>
          <w:iCs/>
        </w:rPr>
        <w:fldChar w:fldCharType="separate"/>
      </w:r>
      <w:r w:rsidR="00F230AB" w:rsidRPr="004F0D45">
        <w:rPr>
          <w:b/>
          <w:bCs/>
          <w:i/>
          <w:iCs/>
        </w:rPr>
        <w:t>Support Layer-1 UE-UE CLI measurement and study the details of its features.</w:t>
      </w:r>
      <w:r w:rsidR="00742993" w:rsidRPr="004F0D45">
        <w:rPr>
          <w:b/>
          <w:bCs/>
          <w:i/>
          <w:iCs/>
        </w:rPr>
        <w:fldChar w:fldCharType="end"/>
      </w:r>
    </w:p>
    <w:p w14:paraId="5DC606A6" w14:textId="7DC1F8B3" w:rsidR="00BC78D4" w:rsidRPr="004F0D45" w:rsidRDefault="00BC78D4" w:rsidP="005A07CF">
      <w:pPr>
        <w:spacing w:after="60"/>
        <w:jc w:val="both"/>
        <w:rPr>
          <w:b/>
          <w:bCs/>
          <w:i/>
          <w:iCs/>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F230AB" w:rsidRPr="004F0D45">
        <w:rPr>
          <w:b/>
          <w:bCs/>
          <w:i/>
          <w:iCs/>
          <w:noProof/>
        </w:rPr>
        <w:t>35</w:t>
      </w:r>
      <w:r w:rsidRPr="004F0D45">
        <w:fldChar w:fldCharType="end"/>
      </w:r>
      <w:r w:rsidRPr="004F0D45">
        <w:rPr>
          <w:b/>
          <w:bCs/>
          <w:i/>
          <w:iCs/>
        </w:rPr>
        <w:t xml:space="preserve">: </w:t>
      </w:r>
      <w:r w:rsidR="00742993" w:rsidRPr="004F0D45">
        <w:rPr>
          <w:b/>
          <w:bCs/>
          <w:i/>
          <w:iCs/>
        </w:rPr>
        <w:fldChar w:fldCharType="begin"/>
      </w:r>
      <w:r w:rsidR="00742993" w:rsidRPr="004F0D45">
        <w:rPr>
          <w:b/>
          <w:bCs/>
          <w:i/>
          <w:iCs/>
        </w:rPr>
        <w:instrText xml:space="preserve"> REF _Ref127286310 \h </w:instrText>
      </w:r>
      <w:r w:rsidR="005D664D" w:rsidRPr="004F0D45">
        <w:rPr>
          <w:b/>
          <w:bCs/>
          <w:i/>
          <w:iCs/>
        </w:rPr>
        <w:instrText xml:space="preserve"> \* MERGEFORMAT </w:instrText>
      </w:r>
      <w:r w:rsidR="00742993" w:rsidRPr="004F0D45">
        <w:rPr>
          <w:b/>
          <w:bCs/>
          <w:i/>
          <w:iCs/>
        </w:rPr>
      </w:r>
      <w:r w:rsidR="00742993" w:rsidRPr="004F0D45">
        <w:rPr>
          <w:b/>
          <w:bCs/>
          <w:i/>
          <w:iCs/>
        </w:rPr>
        <w:fldChar w:fldCharType="separate"/>
      </w:r>
      <w:r w:rsidR="00F230AB" w:rsidRPr="004F0D45">
        <w:rPr>
          <w:b/>
          <w:bCs/>
          <w:i/>
          <w:iCs/>
        </w:rPr>
        <w:t>Study optimized SRS resource configurations for CLI measurement within a GB</w:t>
      </w:r>
      <w:r w:rsidR="00742993" w:rsidRPr="004F0D45">
        <w:rPr>
          <w:b/>
          <w:bCs/>
          <w:i/>
          <w:iCs/>
        </w:rPr>
        <w:fldChar w:fldCharType="end"/>
      </w:r>
    </w:p>
    <w:p w14:paraId="1FA2CAA8" w14:textId="314F3217" w:rsidR="00BC78D4" w:rsidRPr="004F0D45" w:rsidRDefault="00BC78D4" w:rsidP="005A07CF">
      <w:pPr>
        <w:overflowPunct/>
        <w:autoSpaceDE/>
        <w:autoSpaceDN/>
        <w:adjustRightInd/>
        <w:spacing w:after="60"/>
        <w:jc w:val="both"/>
        <w:textAlignment w:val="center"/>
        <w:rPr>
          <w:b/>
          <w:bCs/>
          <w:i/>
          <w:iCs/>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F230AB" w:rsidRPr="004F0D45">
        <w:rPr>
          <w:b/>
          <w:bCs/>
          <w:i/>
          <w:iCs/>
          <w:noProof/>
        </w:rPr>
        <w:t>36</w:t>
      </w:r>
      <w:r w:rsidRPr="004F0D45">
        <w:fldChar w:fldCharType="end"/>
      </w:r>
      <w:r w:rsidRPr="004F0D45">
        <w:rPr>
          <w:b/>
          <w:bCs/>
          <w:i/>
          <w:iCs/>
        </w:rPr>
        <w:t xml:space="preserve">: </w:t>
      </w:r>
      <w:r w:rsidR="00742993" w:rsidRPr="004F0D45">
        <w:rPr>
          <w:b/>
          <w:bCs/>
          <w:i/>
          <w:iCs/>
        </w:rPr>
        <w:fldChar w:fldCharType="begin"/>
      </w:r>
      <w:r w:rsidR="00742993" w:rsidRPr="004F0D45">
        <w:rPr>
          <w:b/>
          <w:bCs/>
          <w:i/>
          <w:iCs/>
        </w:rPr>
        <w:instrText xml:space="preserve"> REF _Ref127286325 \h </w:instrText>
      </w:r>
      <w:r w:rsidR="005D664D" w:rsidRPr="004F0D45">
        <w:rPr>
          <w:b/>
          <w:bCs/>
          <w:i/>
          <w:iCs/>
        </w:rPr>
        <w:instrText xml:space="preserve"> \* MERGEFORMAT </w:instrText>
      </w:r>
      <w:r w:rsidR="00742993" w:rsidRPr="004F0D45">
        <w:rPr>
          <w:b/>
          <w:bCs/>
          <w:i/>
          <w:iCs/>
        </w:rPr>
      </w:r>
      <w:r w:rsidR="00742993" w:rsidRPr="004F0D45">
        <w:rPr>
          <w:b/>
          <w:bCs/>
          <w:i/>
          <w:iCs/>
        </w:rPr>
        <w:fldChar w:fldCharType="separate"/>
      </w:r>
      <w:r w:rsidR="00F230AB" w:rsidRPr="004F0D45">
        <w:rPr>
          <w:b/>
          <w:bCs/>
          <w:i/>
          <w:iCs/>
        </w:rPr>
        <w:t>Study CLI measurement on UL-SB with frequency differentiation</w:t>
      </w:r>
      <w:r w:rsidR="00742993" w:rsidRPr="004F0D45">
        <w:rPr>
          <w:b/>
          <w:bCs/>
          <w:i/>
          <w:iCs/>
        </w:rPr>
        <w:fldChar w:fldCharType="end"/>
      </w:r>
    </w:p>
    <w:p w14:paraId="53CD9119" w14:textId="5206E1F5" w:rsidR="00885580" w:rsidRPr="004F0D45" w:rsidRDefault="00885580" w:rsidP="00107D41">
      <w:pPr>
        <w:pStyle w:val="Heading1"/>
        <w:numPr>
          <w:ilvl w:val="0"/>
          <w:numId w:val="0"/>
        </w:numPr>
        <w:spacing w:before="0" w:after="0"/>
        <w:jc w:val="both"/>
      </w:pPr>
      <w:r w:rsidRPr="004F0D45">
        <w:t>References</w:t>
      </w:r>
    </w:p>
    <w:p w14:paraId="188215D1" w14:textId="28C73AEA" w:rsidR="00C0219C" w:rsidRPr="004F0D45" w:rsidRDefault="00C0219C" w:rsidP="00107D41">
      <w:pPr>
        <w:pStyle w:val="ListParagraph"/>
        <w:numPr>
          <w:ilvl w:val="0"/>
          <w:numId w:val="4"/>
        </w:numPr>
        <w:jc w:val="both"/>
        <w:rPr>
          <w:sz w:val="20"/>
          <w:szCs w:val="20"/>
          <w:lang w:val="en-GB"/>
        </w:rPr>
      </w:pPr>
      <w:r w:rsidRPr="004F0D45">
        <w:rPr>
          <w:sz w:val="20"/>
          <w:szCs w:val="20"/>
          <w:lang w:val="en-GB"/>
        </w:rPr>
        <w:t>RP-220633, Study on Evolution of NR Duplex Operation, CMCC</w:t>
      </w:r>
    </w:p>
    <w:p w14:paraId="7E2BDB0D" w14:textId="7515F6A3" w:rsidR="005135FA" w:rsidRPr="004F0D45" w:rsidRDefault="00EF1528" w:rsidP="00107D41">
      <w:pPr>
        <w:pStyle w:val="ListParagraph"/>
        <w:numPr>
          <w:ilvl w:val="0"/>
          <w:numId w:val="4"/>
        </w:numPr>
        <w:jc w:val="both"/>
        <w:rPr>
          <w:sz w:val="20"/>
          <w:szCs w:val="20"/>
          <w:lang w:val="en-GB"/>
        </w:rPr>
      </w:pPr>
      <w:bookmarkStart w:id="113" w:name="_Ref115085008"/>
      <w:r w:rsidRPr="004F0D45">
        <w:rPr>
          <w:sz w:val="20"/>
          <w:szCs w:val="20"/>
        </w:rPr>
        <w:t>RP-222110</w:t>
      </w:r>
      <w:r w:rsidR="005135FA" w:rsidRPr="004F0D45">
        <w:rPr>
          <w:sz w:val="20"/>
          <w:szCs w:val="20"/>
          <w:lang w:val="en-GB"/>
        </w:rPr>
        <w:t>, Revised SID: Study on evolution of NR duplex operation (revision of RP-221352), CMCC, RP#97, September 2022</w:t>
      </w:r>
      <w:bookmarkEnd w:id="113"/>
    </w:p>
    <w:p w14:paraId="05229EC2" w14:textId="64BB022B" w:rsidR="00F84A57" w:rsidRPr="004F0D45" w:rsidRDefault="0077757C" w:rsidP="00107D41">
      <w:pPr>
        <w:pStyle w:val="ListParagraph"/>
        <w:numPr>
          <w:ilvl w:val="0"/>
          <w:numId w:val="4"/>
        </w:numPr>
        <w:jc w:val="both"/>
        <w:rPr>
          <w:sz w:val="20"/>
          <w:szCs w:val="20"/>
          <w:lang w:val="en-GB"/>
        </w:rPr>
      </w:pPr>
      <w:bookmarkStart w:id="114" w:name="_Ref110508616"/>
      <w:r w:rsidRPr="004F0D45">
        <w:rPr>
          <w:sz w:val="20"/>
          <w:szCs w:val="20"/>
          <w:lang w:val="en-GB"/>
        </w:rPr>
        <w:t>3GPP T</w:t>
      </w:r>
      <w:r w:rsidR="008519FE" w:rsidRPr="004F0D45">
        <w:rPr>
          <w:sz w:val="20"/>
          <w:szCs w:val="20"/>
          <w:lang w:val="en-GB"/>
        </w:rPr>
        <w:t>S</w:t>
      </w:r>
      <w:r w:rsidRPr="004F0D45">
        <w:rPr>
          <w:sz w:val="20"/>
          <w:szCs w:val="20"/>
          <w:lang w:val="en-GB"/>
        </w:rPr>
        <w:t xml:space="preserve"> 38.</w:t>
      </w:r>
      <w:r w:rsidR="00E52C85" w:rsidRPr="004F0D45">
        <w:rPr>
          <w:sz w:val="20"/>
          <w:szCs w:val="20"/>
          <w:lang w:val="en-GB"/>
        </w:rPr>
        <w:t>331</w:t>
      </w:r>
      <w:r w:rsidR="00860745" w:rsidRPr="004F0D45">
        <w:rPr>
          <w:sz w:val="20"/>
          <w:szCs w:val="20"/>
          <w:lang w:val="en-GB"/>
        </w:rPr>
        <w:t xml:space="preserve">, </w:t>
      </w:r>
      <w:r w:rsidR="00E52C85" w:rsidRPr="004F0D45">
        <w:rPr>
          <w:sz w:val="20"/>
          <w:szCs w:val="20"/>
          <w:lang w:val="en-GB"/>
        </w:rPr>
        <w:t>Radio Resource Control (RRC) protocol specification V17.0</w:t>
      </w:r>
      <w:bookmarkEnd w:id="114"/>
    </w:p>
    <w:p w14:paraId="1201705F" w14:textId="111D8F03" w:rsidR="00963D72" w:rsidRPr="004F0D45" w:rsidRDefault="008519FE" w:rsidP="00107D41">
      <w:pPr>
        <w:pStyle w:val="ListParagraph"/>
        <w:numPr>
          <w:ilvl w:val="0"/>
          <w:numId w:val="4"/>
        </w:numPr>
        <w:tabs>
          <w:tab w:val="num" w:pos="360"/>
        </w:tabs>
        <w:jc w:val="both"/>
        <w:rPr>
          <w:sz w:val="20"/>
          <w:szCs w:val="20"/>
        </w:rPr>
      </w:pPr>
      <w:bookmarkStart w:id="115" w:name="_Ref115367958"/>
      <w:r w:rsidRPr="004F0D45">
        <w:rPr>
          <w:sz w:val="20"/>
          <w:szCs w:val="20"/>
        </w:rPr>
        <w:t xml:space="preserve">3GPP TS 38.213, </w:t>
      </w:r>
      <w:r w:rsidRPr="004F0D45">
        <w:rPr>
          <w:color w:val="000000"/>
          <w:sz w:val="20"/>
          <w:szCs w:val="20"/>
        </w:rPr>
        <w:t xml:space="preserve">NR; Physical layer procedures for control </w:t>
      </w:r>
      <w:r w:rsidRPr="004F0D45">
        <w:rPr>
          <w:sz w:val="20"/>
          <w:szCs w:val="20"/>
        </w:rPr>
        <w:t>V17.0</w:t>
      </w:r>
      <w:bookmarkEnd w:id="115"/>
    </w:p>
    <w:p w14:paraId="360410E0" w14:textId="547A870A" w:rsidR="002B6302" w:rsidRPr="004F0D45" w:rsidRDefault="002B6302" w:rsidP="002B6302">
      <w:pPr>
        <w:pStyle w:val="Reference"/>
        <w:numPr>
          <w:ilvl w:val="0"/>
          <w:numId w:val="4"/>
        </w:numPr>
        <w:rPr>
          <w:rFonts w:ascii="Times New Roman" w:hAnsi="Times New Roman" w:cs="Times New Roman"/>
          <w:sz w:val="16"/>
          <w:szCs w:val="16"/>
        </w:rPr>
      </w:pPr>
      <w:r w:rsidRPr="004F0D45">
        <w:rPr>
          <w:rFonts w:ascii="Times New Roman" w:hAnsi="Times New Roman" w:cs="Times New Roman"/>
          <w:bCs/>
          <w:szCs w:val="20"/>
          <w:lang w:eastAsia="zh-TW"/>
        </w:rPr>
        <w:t>R1-2305187 “Discussion on evaluation of NR duplex evolution”, MediaTek, RAN1#113. May 2023</w:t>
      </w:r>
    </w:p>
    <w:p w14:paraId="3674C43A" w14:textId="70986879" w:rsidR="00500AE7" w:rsidRPr="004F0D45" w:rsidRDefault="00500AE7" w:rsidP="00B85576">
      <w:pPr>
        <w:pStyle w:val="Reference"/>
        <w:numPr>
          <w:ilvl w:val="0"/>
          <w:numId w:val="4"/>
        </w:numPr>
        <w:rPr>
          <w:rFonts w:ascii="Times New Roman" w:hAnsi="Times New Roman" w:cs="Times New Roman"/>
          <w:szCs w:val="20"/>
        </w:rPr>
      </w:pPr>
      <w:bookmarkStart w:id="116" w:name="_Ref174151459"/>
      <w:bookmarkStart w:id="117" w:name="_Ref189809556"/>
      <w:r w:rsidRPr="004F0D45">
        <w:rPr>
          <w:rFonts w:ascii="Times New Roman" w:hAnsi="Times New Roman" w:cs="Times New Roman"/>
          <w:szCs w:val="20"/>
        </w:rPr>
        <w:t>R1-2302770, " Sub-band non-overlapping full duplex," Ericsson, RAN1#112bis, April 2023.</w:t>
      </w:r>
      <w:bookmarkEnd w:id="116"/>
      <w:bookmarkEnd w:id="117"/>
    </w:p>
    <w:sectPr w:rsidR="00500AE7" w:rsidRPr="004F0D4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DB8DC" w14:textId="77777777" w:rsidR="00D5437F" w:rsidRDefault="00D5437F">
      <w:r>
        <w:separator/>
      </w:r>
    </w:p>
  </w:endnote>
  <w:endnote w:type="continuationSeparator" w:id="0">
    <w:p w14:paraId="00E03BDC" w14:textId="77777777" w:rsidR="00D5437F" w:rsidRDefault="00D5437F">
      <w:r>
        <w:continuationSeparator/>
      </w:r>
    </w:p>
  </w:endnote>
  <w:endnote w:type="continuationNotice" w:id="1">
    <w:p w14:paraId="03DD7F48" w14:textId="77777777" w:rsidR="00D5437F" w:rsidRDefault="00D543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1BF89" w14:textId="77777777" w:rsidR="00D5437F" w:rsidRDefault="00D5437F">
      <w:r>
        <w:separator/>
      </w:r>
    </w:p>
  </w:footnote>
  <w:footnote w:type="continuationSeparator" w:id="0">
    <w:p w14:paraId="23A691CD" w14:textId="77777777" w:rsidR="00D5437F" w:rsidRDefault="00D5437F">
      <w:r>
        <w:continuationSeparator/>
      </w:r>
    </w:p>
  </w:footnote>
  <w:footnote w:type="continuationNotice" w:id="1">
    <w:p w14:paraId="1226AE85" w14:textId="77777777" w:rsidR="00D5437F" w:rsidRDefault="00D543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75387"/>
    <w:multiLevelType w:val="hybridMultilevel"/>
    <w:tmpl w:val="6944F3E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1DC2534A"/>
    <w:multiLevelType w:val="hybridMultilevel"/>
    <w:tmpl w:val="1FA42A98"/>
    <w:lvl w:ilvl="0" w:tplc="08090001">
      <w:start w:val="1"/>
      <w:numFmt w:val="bullet"/>
      <w:lvlText w:val=""/>
      <w:lvlJc w:val="left"/>
      <w:pPr>
        <w:ind w:left="1100" w:hanging="360"/>
      </w:pPr>
      <w:rPr>
        <w:rFonts w:ascii="Symbol" w:hAnsi="Symbol" w:hint="default"/>
      </w:rPr>
    </w:lvl>
    <w:lvl w:ilvl="1" w:tplc="08090003" w:tentative="1">
      <w:start w:val="1"/>
      <w:numFmt w:val="bullet"/>
      <w:lvlText w:val="o"/>
      <w:lvlJc w:val="left"/>
      <w:pPr>
        <w:ind w:left="1820" w:hanging="360"/>
      </w:pPr>
      <w:rPr>
        <w:rFonts w:ascii="Courier New" w:hAnsi="Courier New" w:cs="Courier New" w:hint="default"/>
      </w:rPr>
    </w:lvl>
    <w:lvl w:ilvl="2" w:tplc="08090005" w:tentative="1">
      <w:start w:val="1"/>
      <w:numFmt w:val="bullet"/>
      <w:lvlText w:val=""/>
      <w:lvlJc w:val="left"/>
      <w:pPr>
        <w:ind w:left="2540" w:hanging="360"/>
      </w:pPr>
      <w:rPr>
        <w:rFonts w:ascii="Wingdings" w:hAnsi="Wingdings" w:hint="default"/>
      </w:rPr>
    </w:lvl>
    <w:lvl w:ilvl="3" w:tplc="08090001" w:tentative="1">
      <w:start w:val="1"/>
      <w:numFmt w:val="bullet"/>
      <w:lvlText w:val=""/>
      <w:lvlJc w:val="left"/>
      <w:pPr>
        <w:ind w:left="3260" w:hanging="360"/>
      </w:pPr>
      <w:rPr>
        <w:rFonts w:ascii="Symbol" w:hAnsi="Symbol" w:hint="default"/>
      </w:rPr>
    </w:lvl>
    <w:lvl w:ilvl="4" w:tplc="08090003" w:tentative="1">
      <w:start w:val="1"/>
      <w:numFmt w:val="bullet"/>
      <w:lvlText w:val="o"/>
      <w:lvlJc w:val="left"/>
      <w:pPr>
        <w:ind w:left="3980" w:hanging="360"/>
      </w:pPr>
      <w:rPr>
        <w:rFonts w:ascii="Courier New" w:hAnsi="Courier New" w:cs="Courier New" w:hint="default"/>
      </w:rPr>
    </w:lvl>
    <w:lvl w:ilvl="5" w:tplc="08090005" w:tentative="1">
      <w:start w:val="1"/>
      <w:numFmt w:val="bullet"/>
      <w:lvlText w:val=""/>
      <w:lvlJc w:val="left"/>
      <w:pPr>
        <w:ind w:left="4700" w:hanging="360"/>
      </w:pPr>
      <w:rPr>
        <w:rFonts w:ascii="Wingdings" w:hAnsi="Wingdings" w:hint="default"/>
      </w:rPr>
    </w:lvl>
    <w:lvl w:ilvl="6" w:tplc="08090001" w:tentative="1">
      <w:start w:val="1"/>
      <w:numFmt w:val="bullet"/>
      <w:lvlText w:val=""/>
      <w:lvlJc w:val="left"/>
      <w:pPr>
        <w:ind w:left="5420" w:hanging="360"/>
      </w:pPr>
      <w:rPr>
        <w:rFonts w:ascii="Symbol" w:hAnsi="Symbol" w:hint="default"/>
      </w:rPr>
    </w:lvl>
    <w:lvl w:ilvl="7" w:tplc="08090003" w:tentative="1">
      <w:start w:val="1"/>
      <w:numFmt w:val="bullet"/>
      <w:lvlText w:val="o"/>
      <w:lvlJc w:val="left"/>
      <w:pPr>
        <w:ind w:left="6140" w:hanging="360"/>
      </w:pPr>
      <w:rPr>
        <w:rFonts w:ascii="Courier New" w:hAnsi="Courier New" w:cs="Courier New" w:hint="default"/>
      </w:rPr>
    </w:lvl>
    <w:lvl w:ilvl="8" w:tplc="08090005" w:tentative="1">
      <w:start w:val="1"/>
      <w:numFmt w:val="bullet"/>
      <w:lvlText w:val=""/>
      <w:lvlJc w:val="left"/>
      <w:pPr>
        <w:ind w:left="6860" w:hanging="360"/>
      </w:pPr>
      <w:rPr>
        <w:rFonts w:ascii="Wingdings" w:hAnsi="Wingdings" w:hint="default"/>
      </w:rPr>
    </w:lvl>
  </w:abstractNum>
  <w:abstractNum w:abstractNumId="5"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9C2BCF"/>
    <w:multiLevelType w:val="hybridMultilevel"/>
    <w:tmpl w:val="1CDA43BE"/>
    <w:lvl w:ilvl="0" w:tplc="52BC905C">
      <w:start w:val="1"/>
      <w:numFmt w:val="bullet"/>
      <w:lvlText w:val="o"/>
      <w:lvlJc w:val="left"/>
      <w:pPr>
        <w:ind w:left="1212" w:hanging="360"/>
      </w:pPr>
      <w:rPr>
        <w:rFonts w:ascii="Courier New" w:hAnsi="Courier New" w:cs="Courier New" w:hint="default"/>
        <w:sz w:val="20"/>
        <w:szCs w:val="20"/>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E715C57"/>
    <w:multiLevelType w:val="hybridMultilevel"/>
    <w:tmpl w:val="86B2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158"/>
        </w:tabs>
        <w:ind w:left="1838"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33370EC8"/>
    <w:multiLevelType w:val="hybridMultilevel"/>
    <w:tmpl w:val="4CAE17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43A961AD"/>
    <w:multiLevelType w:val="hybridMultilevel"/>
    <w:tmpl w:val="AB8A6352"/>
    <w:lvl w:ilvl="0" w:tplc="8960ADD0">
      <w:start w:val="1"/>
      <w:numFmt w:val="lowerLetter"/>
      <w:lvlText w:val="(%1)"/>
      <w:lvlJc w:val="left"/>
      <w:pPr>
        <w:ind w:left="2860" w:hanging="360"/>
      </w:pPr>
      <w:rPr>
        <w:rFonts w:hint="default"/>
      </w:rPr>
    </w:lvl>
    <w:lvl w:ilvl="1" w:tplc="08090019" w:tentative="1">
      <w:start w:val="1"/>
      <w:numFmt w:val="lowerLetter"/>
      <w:lvlText w:val="%2."/>
      <w:lvlJc w:val="left"/>
      <w:pPr>
        <w:ind w:left="3580" w:hanging="360"/>
      </w:pPr>
    </w:lvl>
    <w:lvl w:ilvl="2" w:tplc="0809001B" w:tentative="1">
      <w:start w:val="1"/>
      <w:numFmt w:val="lowerRoman"/>
      <w:lvlText w:val="%3."/>
      <w:lvlJc w:val="right"/>
      <w:pPr>
        <w:ind w:left="4300" w:hanging="180"/>
      </w:pPr>
    </w:lvl>
    <w:lvl w:ilvl="3" w:tplc="0809000F" w:tentative="1">
      <w:start w:val="1"/>
      <w:numFmt w:val="decimal"/>
      <w:lvlText w:val="%4."/>
      <w:lvlJc w:val="left"/>
      <w:pPr>
        <w:ind w:left="5020" w:hanging="360"/>
      </w:pPr>
    </w:lvl>
    <w:lvl w:ilvl="4" w:tplc="08090019" w:tentative="1">
      <w:start w:val="1"/>
      <w:numFmt w:val="lowerLetter"/>
      <w:lvlText w:val="%5."/>
      <w:lvlJc w:val="left"/>
      <w:pPr>
        <w:ind w:left="5740" w:hanging="360"/>
      </w:pPr>
    </w:lvl>
    <w:lvl w:ilvl="5" w:tplc="0809001B" w:tentative="1">
      <w:start w:val="1"/>
      <w:numFmt w:val="lowerRoman"/>
      <w:lvlText w:val="%6."/>
      <w:lvlJc w:val="right"/>
      <w:pPr>
        <w:ind w:left="6460" w:hanging="180"/>
      </w:pPr>
    </w:lvl>
    <w:lvl w:ilvl="6" w:tplc="0809000F" w:tentative="1">
      <w:start w:val="1"/>
      <w:numFmt w:val="decimal"/>
      <w:lvlText w:val="%7."/>
      <w:lvlJc w:val="left"/>
      <w:pPr>
        <w:ind w:left="7180" w:hanging="360"/>
      </w:pPr>
    </w:lvl>
    <w:lvl w:ilvl="7" w:tplc="08090019" w:tentative="1">
      <w:start w:val="1"/>
      <w:numFmt w:val="lowerLetter"/>
      <w:lvlText w:val="%8."/>
      <w:lvlJc w:val="left"/>
      <w:pPr>
        <w:ind w:left="7900" w:hanging="360"/>
      </w:pPr>
    </w:lvl>
    <w:lvl w:ilvl="8" w:tplc="0809001B" w:tentative="1">
      <w:start w:val="1"/>
      <w:numFmt w:val="lowerRoman"/>
      <w:lvlText w:val="%9."/>
      <w:lvlJc w:val="right"/>
      <w:pPr>
        <w:ind w:left="8620" w:hanging="180"/>
      </w:pPr>
    </w:lvl>
  </w:abstractNum>
  <w:abstractNum w:abstractNumId="15" w15:restartNumberingAfterBreak="0">
    <w:nsid w:val="47485525"/>
    <w:multiLevelType w:val="hybridMultilevel"/>
    <w:tmpl w:val="80907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BF07CCB"/>
    <w:multiLevelType w:val="hybridMultilevel"/>
    <w:tmpl w:val="858A8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97449D"/>
    <w:multiLevelType w:val="hybridMultilevel"/>
    <w:tmpl w:val="ED022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5C6211"/>
    <w:multiLevelType w:val="hybridMultilevel"/>
    <w:tmpl w:val="D9E24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F3C0F78"/>
    <w:multiLevelType w:val="hybridMultilevel"/>
    <w:tmpl w:val="27DC6FF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8"/>
  </w:num>
  <w:num w:numId="2">
    <w:abstractNumId w:val="12"/>
  </w:num>
  <w:num w:numId="3">
    <w:abstractNumId w:val="1"/>
  </w:num>
  <w:num w:numId="4">
    <w:abstractNumId w:val="5"/>
  </w:num>
  <w:num w:numId="5">
    <w:abstractNumId w:val="3"/>
  </w:num>
  <w:num w:numId="6">
    <w:abstractNumId w:val="7"/>
  </w:num>
  <w:num w:numId="7">
    <w:abstractNumId w:val="18"/>
  </w:num>
  <w:num w:numId="8">
    <w:abstractNumId w:val="17"/>
  </w:num>
  <w:num w:numId="9">
    <w:abstractNumId w:val="9"/>
  </w:num>
  <w:num w:numId="10">
    <w:abstractNumId w:val="21"/>
  </w:num>
  <w:num w:numId="11">
    <w:abstractNumId w:val="0"/>
  </w:num>
  <w:num w:numId="12">
    <w:abstractNumId w:val="22"/>
  </w:num>
  <w:num w:numId="13">
    <w:abstractNumId w:val="20"/>
  </w:num>
  <w:num w:numId="14">
    <w:abstractNumId w:val="2"/>
  </w:num>
  <w:num w:numId="15">
    <w:abstractNumId w:val="10"/>
  </w:num>
  <w:num w:numId="16">
    <w:abstractNumId w:val="11"/>
  </w:num>
  <w:num w:numId="17">
    <w:abstractNumId w:val="15"/>
  </w:num>
  <w:num w:numId="18">
    <w:abstractNumId w:val="19"/>
  </w:num>
  <w:num w:numId="19">
    <w:abstractNumId w:val="13"/>
  </w:num>
  <w:num w:numId="20">
    <w:abstractNumId w:val="23"/>
  </w:num>
  <w:num w:numId="21">
    <w:abstractNumId w:val="13"/>
  </w:num>
  <w:num w:numId="22">
    <w:abstractNumId w:val="6"/>
  </w:num>
  <w:num w:numId="23">
    <w:abstractNumId w:val="4"/>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159F"/>
    <w:rsid w:val="000017C6"/>
    <w:rsid w:val="00001F0C"/>
    <w:rsid w:val="00003A5B"/>
    <w:rsid w:val="00003E20"/>
    <w:rsid w:val="00004683"/>
    <w:rsid w:val="00004AC8"/>
    <w:rsid w:val="00004CCE"/>
    <w:rsid w:val="00004D8C"/>
    <w:rsid w:val="00004E45"/>
    <w:rsid w:val="000053BA"/>
    <w:rsid w:val="00005EF5"/>
    <w:rsid w:val="00006055"/>
    <w:rsid w:val="00006AD4"/>
    <w:rsid w:val="00006CB9"/>
    <w:rsid w:val="000074C4"/>
    <w:rsid w:val="000079A6"/>
    <w:rsid w:val="00010630"/>
    <w:rsid w:val="00010709"/>
    <w:rsid w:val="0001079F"/>
    <w:rsid w:val="00010E2C"/>
    <w:rsid w:val="00011BB2"/>
    <w:rsid w:val="00012505"/>
    <w:rsid w:val="00012685"/>
    <w:rsid w:val="00012804"/>
    <w:rsid w:val="00012C4F"/>
    <w:rsid w:val="000131D1"/>
    <w:rsid w:val="00013455"/>
    <w:rsid w:val="000134E3"/>
    <w:rsid w:val="00013632"/>
    <w:rsid w:val="00013F5E"/>
    <w:rsid w:val="0001403F"/>
    <w:rsid w:val="0001487F"/>
    <w:rsid w:val="00014A0E"/>
    <w:rsid w:val="00014D24"/>
    <w:rsid w:val="00014F35"/>
    <w:rsid w:val="00015F98"/>
    <w:rsid w:val="000166AC"/>
    <w:rsid w:val="0001738B"/>
    <w:rsid w:val="00017B7F"/>
    <w:rsid w:val="00017EDA"/>
    <w:rsid w:val="00020C06"/>
    <w:rsid w:val="00021298"/>
    <w:rsid w:val="000212A5"/>
    <w:rsid w:val="00022B8C"/>
    <w:rsid w:val="00023290"/>
    <w:rsid w:val="00023742"/>
    <w:rsid w:val="00023F51"/>
    <w:rsid w:val="00024AEF"/>
    <w:rsid w:val="00025A38"/>
    <w:rsid w:val="00025EB5"/>
    <w:rsid w:val="00026496"/>
    <w:rsid w:val="00026C65"/>
    <w:rsid w:val="0002748E"/>
    <w:rsid w:val="00027755"/>
    <w:rsid w:val="00027864"/>
    <w:rsid w:val="0002789E"/>
    <w:rsid w:val="00027A33"/>
    <w:rsid w:val="00027A4B"/>
    <w:rsid w:val="00030048"/>
    <w:rsid w:val="0003072D"/>
    <w:rsid w:val="00030A57"/>
    <w:rsid w:val="000314CD"/>
    <w:rsid w:val="00031A7C"/>
    <w:rsid w:val="0003332B"/>
    <w:rsid w:val="00033544"/>
    <w:rsid w:val="000339CE"/>
    <w:rsid w:val="00033D4D"/>
    <w:rsid w:val="000341DD"/>
    <w:rsid w:val="000344DC"/>
    <w:rsid w:val="0003479E"/>
    <w:rsid w:val="00034CD7"/>
    <w:rsid w:val="00035691"/>
    <w:rsid w:val="00035BA6"/>
    <w:rsid w:val="00035C44"/>
    <w:rsid w:val="0003767C"/>
    <w:rsid w:val="000409D8"/>
    <w:rsid w:val="00040F4F"/>
    <w:rsid w:val="0004132D"/>
    <w:rsid w:val="00041C9D"/>
    <w:rsid w:val="000426F5"/>
    <w:rsid w:val="000439EA"/>
    <w:rsid w:val="00044CFA"/>
    <w:rsid w:val="00045569"/>
    <w:rsid w:val="000459C7"/>
    <w:rsid w:val="00046630"/>
    <w:rsid w:val="00046C80"/>
    <w:rsid w:val="0004743C"/>
    <w:rsid w:val="00047553"/>
    <w:rsid w:val="00047BC4"/>
    <w:rsid w:val="00050112"/>
    <w:rsid w:val="00050276"/>
    <w:rsid w:val="00050466"/>
    <w:rsid w:val="000505CC"/>
    <w:rsid w:val="00050891"/>
    <w:rsid w:val="0005113F"/>
    <w:rsid w:val="000511F9"/>
    <w:rsid w:val="00051212"/>
    <w:rsid w:val="00051B32"/>
    <w:rsid w:val="00051C92"/>
    <w:rsid w:val="0005230E"/>
    <w:rsid w:val="00052590"/>
    <w:rsid w:val="00052687"/>
    <w:rsid w:val="00052850"/>
    <w:rsid w:val="000528A2"/>
    <w:rsid w:val="00052BBA"/>
    <w:rsid w:val="00052E0E"/>
    <w:rsid w:val="0005342E"/>
    <w:rsid w:val="00053588"/>
    <w:rsid w:val="0005495A"/>
    <w:rsid w:val="00054B05"/>
    <w:rsid w:val="00054D9D"/>
    <w:rsid w:val="00055676"/>
    <w:rsid w:val="00055B5E"/>
    <w:rsid w:val="00056351"/>
    <w:rsid w:val="00056544"/>
    <w:rsid w:val="00056919"/>
    <w:rsid w:val="00056BDE"/>
    <w:rsid w:val="00057380"/>
    <w:rsid w:val="00057635"/>
    <w:rsid w:val="000600F3"/>
    <w:rsid w:val="00060D8E"/>
    <w:rsid w:val="00061061"/>
    <w:rsid w:val="000619BB"/>
    <w:rsid w:val="00061BBF"/>
    <w:rsid w:val="00062159"/>
    <w:rsid w:val="000621A1"/>
    <w:rsid w:val="00063C20"/>
    <w:rsid w:val="00063D9E"/>
    <w:rsid w:val="00064453"/>
    <w:rsid w:val="0006488E"/>
    <w:rsid w:val="00064AD3"/>
    <w:rsid w:val="00065088"/>
    <w:rsid w:val="000652D3"/>
    <w:rsid w:val="000654A0"/>
    <w:rsid w:val="0006579F"/>
    <w:rsid w:val="00065E94"/>
    <w:rsid w:val="00066719"/>
    <w:rsid w:val="000669A3"/>
    <w:rsid w:val="000701AD"/>
    <w:rsid w:val="000706AB"/>
    <w:rsid w:val="000707CA"/>
    <w:rsid w:val="00070D21"/>
    <w:rsid w:val="00070D4B"/>
    <w:rsid w:val="000715A2"/>
    <w:rsid w:val="000717FB"/>
    <w:rsid w:val="000719BF"/>
    <w:rsid w:val="0007208A"/>
    <w:rsid w:val="0007213C"/>
    <w:rsid w:val="00072BBA"/>
    <w:rsid w:val="00072FF5"/>
    <w:rsid w:val="000730DC"/>
    <w:rsid w:val="00073886"/>
    <w:rsid w:val="000750F6"/>
    <w:rsid w:val="0007531D"/>
    <w:rsid w:val="00075965"/>
    <w:rsid w:val="00075C6C"/>
    <w:rsid w:val="00075FDA"/>
    <w:rsid w:val="00076386"/>
    <w:rsid w:val="00076C4D"/>
    <w:rsid w:val="00076D82"/>
    <w:rsid w:val="00077C0A"/>
    <w:rsid w:val="00081716"/>
    <w:rsid w:val="0008193C"/>
    <w:rsid w:val="00081EC2"/>
    <w:rsid w:val="00082154"/>
    <w:rsid w:val="00083042"/>
    <w:rsid w:val="00083800"/>
    <w:rsid w:val="000846AE"/>
    <w:rsid w:val="00084754"/>
    <w:rsid w:val="00084A65"/>
    <w:rsid w:val="000850D5"/>
    <w:rsid w:val="0008559A"/>
    <w:rsid w:val="00086797"/>
    <w:rsid w:val="00086B70"/>
    <w:rsid w:val="00086B7F"/>
    <w:rsid w:val="00087168"/>
    <w:rsid w:val="000902C2"/>
    <w:rsid w:val="0009063D"/>
    <w:rsid w:val="000910F5"/>
    <w:rsid w:val="00091A92"/>
    <w:rsid w:val="00091C51"/>
    <w:rsid w:val="00091C7C"/>
    <w:rsid w:val="00093C49"/>
    <w:rsid w:val="00093E57"/>
    <w:rsid w:val="00095A80"/>
    <w:rsid w:val="00095ABD"/>
    <w:rsid w:val="00095EE3"/>
    <w:rsid w:val="00095F8E"/>
    <w:rsid w:val="00097377"/>
    <w:rsid w:val="000973E1"/>
    <w:rsid w:val="000A0A0D"/>
    <w:rsid w:val="000A1402"/>
    <w:rsid w:val="000A18F8"/>
    <w:rsid w:val="000A20BA"/>
    <w:rsid w:val="000A218D"/>
    <w:rsid w:val="000A262C"/>
    <w:rsid w:val="000A2786"/>
    <w:rsid w:val="000A3200"/>
    <w:rsid w:val="000A36CF"/>
    <w:rsid w:val="000A3C8D"/>
    <w:rsid w:val="000A3DFE"/>
    <w:rsid w:val="000A40EC"/>
    <w:rsid w:val="000A54EE"/>
    <w:rsid w:val="000A62BE"/>
    <w:rsid w:val="000A6A23"/>
    <w:rsid w:val="000A6C21"/>
    <w:rsid w:val="000A7BC5"/>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483"/>
    <w:rsid w:val="000B5661"/>
    <w:rsid w:val="000B5AC9"/>
    <w:rsid w:val="000B5DB9"/>
    <w:rsid w:val="000B5F0A"/>
    <w:rsid w:val="000B625F"/>
    <w:rsid w:val="000B6630"/>
    <w:rsid w:val="000B6D65"/>
    <w:rsid w:val="000B6EA4"/>
    <w:rsid w:val="000B6FB9"/>
    <w:rsid w:val="000B743C"/>
    <w:rsid w:val="000B7B49"/>
    <w:rsid w:val="000C00EC"/>
    <w:rsid w:val="000C01A2"/>
    <w:rsid w:val="000C0B1D"/>
    <w:rsid w:val="000C0CB5"/>
    <w:rsid w:val="000C1D59"/>
    <w:rsid w:val="000C21BF"/>
    <w:rsid w:val="000C2266"/>
    <w:rsid w:val="000C2B09"/>
    <w:rsid w:val="000C30CF"/>
    <w:rsid w:val="000C3512"/>
    <w:rsid w:val="000C4655"/>
    <w:rsid w:val="000C501D"/>
    <w:rsid w:val="000C5744"/>
    <w:rsid w:val="000C5B5B"/>
    <w:rsid w:val="000C5CBA"/>
    <w:rsid w:val="000C65D6"/>
    <w:rsid w:val="000C6665"/>
    <w:rsid w:val="000C69AB"/>
    <w:rsid w:val="000C74BA"/>
    <w:rsid w:val="000C7531"/>
    <w:rsid w:val="000C7BA7"/>
    <w:rsid w:val="000C7C3F"/>
    <w:rsid w:val="000D00D9"/>
    <w:rsid w:val="000D02AB"/>
    <w:rsid w:val="000D0BD6"/>
    <w:rsid w:val="000D0BDE"/>
    <w:rsid w:val="000D0C61"/>
    <w:rsid w:val="000D12DF"/>
    <w:rsid w:val="000D1440"/>
    <w:rsid w:val="000D1901"/>
    <w:rsid w:val="000D1DCC"/>
    <w:rsid w:val="000D2547"/>
    <w:rsid w:val="000D27AD"/>
    <w:rsid w:val="000D29D1"/>
    <w:rsid w:val="000D2B0A"/>
    <w:rsid w:val="000D2EED"/>
    <w:rsid w:val="000D3286"/>
    <w:rsid w:val="000D344D"/>
    <w:rsid w:val="000D387D"/>
    <w:rsid w:val="000D40E7"/>
    <w:rsid w:val="000D584F"/>
    <w:rsid w:val="000D5EAF"/>
    <w:rsid w:val="000D6B82"/>
    <w:rsid w:val="000D76BC"/>
    <w:rsid w:val="000D7750"/>
    <w:rsid w:val="000E071E"/>
    <w:rsid w:val="000E0DEE"/>
    <w:rsid w:val="000E1325"/>
    <w:rsid w:val="000E181D"/>
    <w:rsid w:val="000E27AA"/>
    <w:rsid w:val="000E337A"/>
    <w:rsid w:val="000E34FD"/>
    <w:rsid w:val="000E4350"/>
    <w:rsid w:val="000E4376"/>
    <w:rsid w:val="000E4408"/>
    <w:rsid w:val="000E4601"/>
    <w:rsid w:val="000E4681"/>
    <w:rsid w:val="000E475D"/>
    <w:rsid w:val="000E53AB"/>
    <w:rsid w:val="000E5716"/>
    <w:rsid w:val="000E6337"/>
    <w:rsid w:val="000E6970"/>
    <w:rsid w:val="000E70E6"/>
    <w:rsid w:val="000E7A79"/>
    <w:rsid w:val="000F15B2"/>
    <w:rsid w:val="000F19DE"/>
    <w:rsid w:val="000F21F9"/>
    <w:rsid w:val="000F286C"/>
    <w:rsid w:val="000F2E1F"/>
    <w:rsid w:val="000F301D"/>
    <w:rsid w:val="000F37B0"/>
    <w:rsid w:val="000F3909"/>
    <w:rsid w:val="000F3DDD"/>
    <w:rsid w:val="000F3FE4"/>
    <w:rsid w:val="000F447B"/>
    <w:rsid w:val="000F4595"/>
    <w:rsid w:val="000F4CB2"/>
    <w:rsid w:val="000F4E44"/>
    <w:rsid w:val="000F4E90"/>
    <w:rsid w:val="000F4F58"/>
    <w:rsid w:val="000F568D"/>
    <w:rsid w:val="000F56B3"/>
    <w:rsid w:val="000F5D0C"/>
    <w:rsid w:val="000F6158"/>
    <w:rsid w:val="000F68D0"/>
    <w:rsid w:val="000F6B15"/>
    <w:rsid w:val="000F6D98"/>
    <w:rsid w:val="000F6DBE"/>
    <w:rsid w:val="000F713D"/>
    <w:rsid w:val="000F7500"/>
    <w:rsid w:val="000F750D"/>
    <w:rsid w:val="000F785F"/>
    <w:rsid w:val="000F7974"/>
    <w:rsid w:val="001006B5"/>
    <w:rsid w:val="00100FBF"/>
    <w:rsid w:val="0010170B"/>
    <w:rsid w:val="00101C4F"/>
    <w:rsid w:val="00102C9F"/>
    <w:rsid w:val="00103AAC"/>
    <w:rsid w:val="00103FC9"/>
    <w:rsid w:val="00104021"/>
    <w:rsid w:val="00104786"/>
    <w:rsid w:val="00104A62"/>
    <w:rsid w:val="00104EB4"/>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331A"/>
    <w:rsid w:val="0011339F"/>
    <w:rsid w:val="001139B5"/>
    <w:rsid w:val="00113B8F"/>
    <w:rsid w:val="00113EC8"/>
    <w:rsid w:val="00114035"/>
    <w:rsid w:val="00114227"/>
    <w:rsid w:val="00114E96"/>
    <w:rsid w:val="001152C7"/>
    <w:rsid w:val="00115C88"/>
    <w:rsid w:val="0011644A"/>
    <w:rsid w:val="00116B42"/>
    <w:rsid w:val="00117332"/>
    <w:rsid w:val="0011784B"/>
    <w:rsid w:val="001204DD"/>
    <w:rsid w:val="00122839"/>
    <w:rsid w:val="001237AC"/>
    <w:rsid w:val="00123AD3"/>
    <w:rsid w:val="00124E12"/>
    <w:rsid w:val="00124E34"/>
    <w:rsid w:val="00124E75"/>
    <w:rsid w:val="00126599"/>
    <w:rsid w:val="0012673D"/>
    <w:rsid w:val="001269B8"/>
    <w:rsid w:val="00127099"/>
    <w:rsid w:val="001273FA"/>
    <w:rsid w:val="0012793A"/>
    <w:rsid w:val="00127956"/>
    <w:rsid w:val="00130313"/>
    <w:rsid w:val="00130594"/>
    <w:rsid w:val="00131D69"/>
    <w:rsid w:val="00132830"/>
    <w:rsid w:val="00132B71"/>
    <w:rsid w:val="00132B7F"/>
    <w:rsid w:val="001337A5"/>
    <w:rsid w:val="00134185"/>
    <w:rsid w:val="0013427A"/>
    <w:rsid w:val="00134578"/>
    <w:rsid w:val="001348FE"/>
    <w:rsid w:val="00134B36"/>
    <w:rsid w:val="00134D55"/>
    <w:rsid w:val="00135E77"/>
    <w:rsid w:val="00135F21"/>
    <w:rsid w:val="001360F3"/>
    <w:rsid w:val="001362C2"/>
    <w:rsid w:val="0013678C"/>
    <w:rsid w:val="00136955"/>
    <w:rsid w:val="00136E19"/>
    <w:rsid w:val="001371B2"/>
    <w:rsid w:val="00137AB9"/>
    <w:rsid w:val="00137D78"/>
    <w:rsid w:val="0014060C"/>
    <w:rsid w:val="00140645"/>
    <w:rsid w:val="001409A0"/>
    <w:rsid w:val="001416C7"/>
    <w:rsid w:val="00141E40"/>
    <w:rsid w:val="00141F08"/>
    <w:rsid w:val="00141FF2"/>
    <w:rsid w:val="00142082"/>
    <w:rsid w:val="001424A1"/>
    <w:rsid w:val="0014287A"/>
    <w:rsid w:val="00142DE2"/>
    <w:rsid w:val="00144C87"/>
    <w:rsid w:val="0014659B"/>
    <w:rsid w:val="001467B1"/>
    <w:rsid w:val="00146A0F"/>
    <w:rsid w:val="0014726E"/>
    <w:rsid w:val="001477AF"/>
    <w:rsid w:val="001477EA"/>
    <w:rsid w:val="00150175"/>
    <w:rsid w:val="001502C8"/>
    <w:rsid w:val="001508C5"/>
    <w:rsid w:val="00150A2F"/>
    <w:rsid w:val="00150A91"/>
    <w:rsid w:val="00150C08"/>
    <w:rsid w:val="00151011"/>
    <w:rsid w:val="0015103E"/>
    <w:rsid w:val="00151224"/>
    <w:rsid w:val="0015130F"/>
    <w:rsid w:val="001528CB"/>
    <w:rsid w:val="001532B3"/>
    <w:rsid w:val="001532BA"/>
    <w:rsid w:val="001538BC"/>
    <w:rsid w:val="00153FED"/>
    <w:rsid w:val="001540D0"/>
    <w:rsid w:val="0015458E"/>
    <w:rsid w:val="0015521D"/>
    <w:rsid w:val="00155BFD"/>
    <w:rsid w:val="00156ABA"/>
    <w:rsid w:val="00156B13"/>
    <w:rsid w:val="00156EB4"/>
    <w:rsid w:val="00157390"/>
    <w:rsid w:val="0016082D"/>
    <w:rsid w:val="001608BA"/>
    <w:rsid w:val="00160998"/>
    <w:rsid w:val="00160CD6"/>
    <w:rsid w:val="00160F5F"/>
    <w:rsid w:val="001610C5"/>
    <w:rsid w:val="00162308"/>
    <w:rsid w:val="00162AFD"/>
    <w:rsid w:val="00162B35"/>
    <w:rsid w:val="00162CFF"/>
    <w:rsid w:val="0016316A"/>
    <w:rsid w:val="00163310"/>
    <w:rsid w:val="00163539"/>
    <w:rsid w:val="0016381F"/>
    <w:rsid w:val="00163C04"/>
    <w:rsid w:val="00163D1D"/>
    <w:rsid w:val="00164171"/>
    <w:rsid w:val="001646E9"/>
    <w:rsid w:val="00164E58"/>
    <w:rsid w:val="00165033"/>
    <w:rsid w:val="001652FB"/>
    <w:rsid w:val="00165505"/>
    <w:rsid w:val="00165926"/>
    <w:rsid w:val="00165D5C"/>
    <w:rsid w:val="0016642B"/>
    <w:rsid w:val="001665EB"/>
    <w:rsid w:val="001670EA"/>
    <w:rsid w:val="001674A0"/>
    <w:rsid w:val="00170A50"/>
    <w:rsid w:val="00171CFB"/>
    <w:rsid w:val="00172BE6"/>
    <w:rsid w:val="00172CAA"/>
    <w:rsid w:val="00172FB4"/>
    <w:rsid w:val="00173904"/>
    <w:rsid w:val="00173D9A"/>
    <w:rsid w:val="00173F41"/>
    <w:rsid w:val="00174FFD"/>
    <w:rsid w:val="001759CA"/>
    <w:rsid w:val="00175CE6"/>
    <w:rsid w:val="001764DB"/>
    <w:rsid w:val="00176C0D"/>
    <w:rsid w:val="00176C94"/>
    <w:rsid w:val="00176FE0"/>
    <w:rsid w:val="0017726A"/>
    <w:rsid w:val="00177DD3"/>
    <w:rsid w:val="00180278"/>
    <w:rsid w:val="001807F2"/>
    <w:rsid w:val="001812FB"/>
    <w:rsid w:val="001818A7"/>
    <w:rsid w:val="00181A2D"/>
    <w:rsid w:val="00181CEA"/>
    <w:rsid w:val="00182725"/>
    <w:rsid w:val="001829C8"/>
    <w:rsid w:val="00184EF4"/>
    <w:rsid w:val="0018560B"/>
    <w:rsid w:val="001858F5"/>
    <w:rsid w:val="00185AFA"/>
    <w:rsid w:val="00186572"/>
    <w:rsid w:val="00186904"/>
    <w:rsid w:val="00186B0A"/>
    <w:rsid w:val="00187859"/>
    <w:rsid w:val="00187BB9"/>
    <w:rsid w:val="001905BD"/>
    <w:rsid w:val="00190BF0"/>
    <w:rsid w:val="00191636"/>
    <w:rsid w:val="00191B6D"/>
    <w:rsid w:val="00191E79"/>
    <w:rsid w:val="00191E87"/>
    <w:rsid w:val="00192D8E"/>
    <w:rsid w:val="00192FE6"/>
    <w:rsid w:val="0019360B"/>
    <w:rsid w:val="00193986"/>
    <w:rsid w:val="00193B08"/>
    <w:rsid w:val="00194518"/>
    <w:rsid w:val="00194570"/>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7BBA"/>
    <w:rsid w:val="001B017D"/>
    <w:rsid w:val="001B01FA"/>
    <w:rsid w:val="001B0832"/>
    <w:rsid w:val="001B1330"/>
    <w:rsid w:val="001B18A7"/>
    <w:rsid w:val="001B233D"/>
    <w:rsid w:val="001B2762"/>
    <w:rsid w:val="001B36FC"/>
    <w:rsid w:val="001B38EE"/>
    <w:rsid w:val="001B4078"/>
    <w:rsid w:val="001B41ED"/>
    <w:rsid w:val="001B4446"/>
    <w:rsid w:val="001B4449"/>
    <w:rsid w:val="001B4457"/>
    <w:rsid w:val="001B4607"/>
    <w:rsid w:val="001B46ED"/>
    <w:rsid w:val="001B4C3C"/>
    <w:rsid w:val="001B7E0C"/>
    <w:rsid w:val="001C0674"/>
    <w:rsid w:val="001C1405"/>
    <w:rsid w:val="001C1628"/>
    <w:rsid w:val="001C1B93"/>
    <w:rsid w:val="001C226F"/>
    <w:rsid w:val="001C254C"/>
    <w:rsid w:val="001C29A1"/>
    <w:rsid w:val="001C3C7E"/>
    <w:rsid w:val="001C5296"/>
    <w:rsid w:val="001C52B5"/>
    <w:rsid w:val="001C63CC"/>
    <w:rsid w:val="001C66AC"/>
    <w:rsid w:val="001C6754"/>
    <w:rsid w:val="001C6B60"/>
    <w:rsid w:val="001C6CAF"/>
    <w:rsid w:val="001C77F0"/>
    <w:rsid w:val="001C7929"/>
    <w:rsid w:val="001D100F"/>
    <w:rsid w:val="001D104C"/>
    <w:rsid w:val="001D1F0F"/>
    <w:rsid w:val="001D25CF"/>
    <w:rsid w:val="001D30C9"/>
    <w:rsid w:val="001D3201"/>
    <w:rsid w:val="001D445B"/>
    <w:rsid w:val="001D4489"/>
    <w:rsid w:val="001D46A0"/>
    <w:rsid w:val="001D4D46"/>
    <w:rsid w:val="001D50C2"/>
    <w:rsid w:val="001D5A92"/>
    <w:rsid w:val="001D6275"/>
    <w:rsid w:val="001D753C"/>
    <w:rsid w:val="001D7CA4"/>
    <w:rsid w:val="001D7E58"/>
    <w:rsid w:val="001E0425"/>
    <w:rsid w:val="001E13B3"/>
    <w:rsid w:val="001E265A"/>
    <w:rsid w:val="001E297F"/>
    <w:rsid w:val="001E2A67"/>
    <w:rsid w:val="001E30A0"/>
    <w:rsid w:val="001E3113"/>
    <w:rsid w:val="001E3CE8"/>
    <w:rsid w:val="001E3DE1"/>
    <w:rsid w:val="001E48AA"/>
    <w:rsid w:val="001E4D4F"/>
    <w:rsid w:val="001E50B1"/>
    <w:rsid w:val="001E54F9"/>
    <w:rsid w:val="001E57CF"/>
    <w:rsid w:val="001E5904"/>
    <w:rsid w:val="001E5981"/>
    <w:rsid w:val="001E6826"/>
    <w:rsid w:val="001E6D01"/>
    <w:rsid w:val="001E6E8E"/>
    <w:rsid w:val="001E74BA"/>
    <w:rsid w:val="001E74EF"/>
    <w:rsid w:val="001E7B9F"/>
    <w:rsid w:val="001F01FB"/>
    <w:rsid w:val="001F0658"/>
    <w:rsid w:val="001F0A2B"/>
    <w:rsid w:val="001F0C29"/>
    <w:rsid w:val="001F0E92"/>
    <w:rsid w:val="001F1987"/>
    <w:rsid w:val="001F1B7C"/>
    <w:rsid w:val="001F201D"/>
    <w:rsid w:val="001F204F"/>
    <w:rsid w:val="001F21BC"/>
    <w:rsid w:val="001F22D5"/>
    <w:rsid w:val="001F23BD"/>
    <w:rsid w:val="001F2560"/>
    <w:rsid w:val="001F2680"/>
    <w:rsid w:val="001F2B3E"/>
    <w:rsid w:val="001F32E0"/>
    <w:rsid w:val="001F34DA"/>
    <w:rsid w:val="001F4DAC"/>
    <w:rsid w:val="001F5019"/>
    <w:rsid w:val="001F51C5"/>
    <w:rsid w:val="001F5F47"/>
    <w:rsid w:val="001F65B0"/>
    <w:rsid w:val="001F67AA"/>
    <w:rsid w:val="001F6AFD"/>
    <w:rsid w:val="001F738D"/>
    <w:rsid w:val="001F7599"/>
    <w:rsid w:val="00200457"/>
    <w:rsid w:val="00201B0F"/>
    <w:rsid w:val="002034CD"/>
    <w:rsid w:val="00204A2A"/>
    <w:rsid w:val="00204B22"/>
    <w:rsid w:val="00204B3A"/>
    <w:rsid w:val="0020535A"/>
    <w:rsid w:val="002055CB"/>
    <w:rsid w:val="002059EF"/>
    <w:rsid w:val="00205A4B"/>
    <w:rsid w:val="00205BDB"/>
    <w:rsid w:val="00206076"/>
    <w:rsid w:val="00206652"/>
    <w:rsid w:val="00206857"/>
    <w:rsid w:val="00206955"/>
    <w:rsid w:val="00206A79"/>
    <w:rsid w:val="00206AC5"/>
    <w:rsid w:val="002071E0"/>
    <w:rsid w:val="00207754"/>
    <w:rsid w:val="00207DF2"/>
    <w:rsid w:val="00210309"/>
    <w:rsid w:val="002114F0"/>
    <w:rsid w:val="00211519"/>
    <w:rsid w:val="00211C74"/>
    <w:rsid w:val="0021224B"/>
    <w:rsid w:val="00212950"/>
    <w:rsid w:val="00212FB8"/>
    <w:rsid w:val="002135DC"/>
    <w:rsid w:val="00213709"/>
    <w:rsid w:val="00214012"/>
    <w:rsid w:val="002149AF"/>
    <w:rsid w:val="00214A86"/>
    <w:rsid w:val="00215AAA"/>
    <w:rsid w:val="00215F73"/>
    <w:rsid w:val="002166F0"/>
    <w:rsid w:val="0021683C"/>
    <w:rsid w:val="002169B3"/>
    <w:rsid w:val="00216F5F"/>
    <w:rsid w:val="00217C1E"/>
    <w:rsid w:val="00220615"/>
    <w:rsid w:val="00220B56"/>
    <w:rsid w:val="00221985"/>
    <w:rsid w:val="00221EC5"/>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306F8"/>
    <w:rsid w:val="002312F4"/>
    <w:rsid w:val="002313A2"/>
    <w:rsid w:val="00231FC7"/>
    <w:rsid w:val="0023288C"/>
    <w:rsid w:val="00232930"/>
    <w:rsid w:val="00232982"/>
    <w:rsid w:val="00232A95"/>
    <w:rsid w:val="00232C3F"/>
    <w:rsid w:val="00232DD9"/>
    <w:rsid w:val="0023308F"/>
    <w:rsid w:val="00233403"/>
    <w:rsid w:val="00233440"/>
    <w:rsid w:val="00233609"/>
    <w:rsid w:val="00233D0E"/>
    <w:rsid w:val="00234270"/>
    <w:rsid w:val="00234B61"/>
    <w:rsid w:val="00234E13"/>
    <w:rsid w:val="00236223"/>
    <w:rsid w:val="00236450"/>
    <w:rsid w:val="002365AA"/>
    <w:rsid w:val="0023765A"/>
    <w:rsid w:val="00237921"/>
    <w:rsid w:val="00237C1E"/>
    <w:rsid w:val="00240342"/>
    <w:rsid w:val="0024044A"/>
    <w:rsid w:val="002407C3"/>
    <w:rsid w:val="00241311"/>
    <w:rsid w:val="00241316"/>
    <w:rsid w:val="002418BE"/>
    <w:rsid w:val="002418E8"/>
    <w:rsid w:val="00241ED1"/>
    <w:rsid w:val="00242E22"/>
    <w:rsid w:val="00242FCC"/>
    <w:rsid w:val="0024336B"/>
    <w:rsid w:val="00243389"/>
    <w:rsid w:val="00244194"/>
    <w:rsid w:val="0024424F"/>
    <w:rsid w:val="00244404"/>
    <w:rsid w:val="00244D28"/>
    <w:rsid w:val="002452A0"/>
    <w:rsid w:val="00245689"/>
    <w:rsid w:val="00245720"/>
    <w:rsid w:val="00245A6F"/>
    <w:rsid w:val="00245FD5"/>
    <w:rsid w:val="002461BC"/>
    <w:rsid w:val="00246A4E"/>
    <w:rsid w:val="002473C1"/>
    <w:rsid w:val="002477DF"/>
    <w:rsid w:val="00247954"/>
    <w:rsid w:val="00250C3D"/>
    <w:rsid w:val="00250FB1"/>
    <w:rsid w:val="00251AD6"/>
    <w:rsid w:val="00252AB7"/>
    <w:rsid w:val="00252C17"/>
    <w:rsid w:val="0025307F"/>
    <w:rsid w:val="00253B87"/>
    <w:rsid w:val="00253CD6"/>
    <w:rsid w:val="00254125"/>
    <w:rsid w:val="002551BD"/>
    <w:rsid w:val="002568D0"/>
    <w:rsid w:val="00256A9B"/>
    <w:rsid w:val="002571F1"/>
    <w:rsid w:val="00257EED"/>
    <w:rsid w:val="00260A49"/>
    <w:rsid w:val="00260AEE"/>
    <w:rsid w:val="002619A0"/>
    <w:rsid w:val="002621A6"/>
    <w:rsid w:val="00262661"/>
    <w:rsid w:val="0026267B"/>
    <w:rsid w:val="00262D9D"/>
    <w:rsid w:val="00262E9D"/>
    <w:rsid w:val="002632DF"/>
    <w:rsid w:val="002637B3"/>
    <w:rsid w:val="00263946"/>
    <w:rsid w:val="002640BA"/>
    <w:rsid w:val="00264A87"/>
    <w:rsid w:val="00264CF2"/>
    <w:rsid w:val="00264F7F"/>
    <w:rsid w:val="00265BF0"/>
    <w:rsid w:val="002667A8"/>
    <w:rsid w:val="00267587"/>
    <w:rsid w:val="002675C8"/>
    <w:rsid w:val="00267760"/>
    <w:rsid w:val="00267D0A"/>
    <w:rsid w:val="00271589"/>
    <w:rsid w:val="0027314F"/>
    <w:rsid w:val="00273177"/>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B2C"/>
    <w:rsid w:val="002835DA"/>
    <w:rsid w:val="00283DB9"/>
    <w:rsid w:val="00284E32"/>
    <w:rsid w:val="002851EB"/>
    <w:rsid w:val="00285510"/>
    <w:rsid w:val="00285BD1"/>
    <w:rsid w:val="00285CB5"/>
    <w:rsid w:val="00285DE2"/>
    <w:rsid w:val="0028616D"/>
    <w:rsid w:val="00286965"/>
    <w:rsid w:val="00287190"/>
    <w:rsid w:val="0028791F"/>
    <w:rsid w:val="0029136E"/>
    <w:rsid w:val="00291C14"/>
    <w:rsid w:val="00292072"/>
    <w:rsid w:val="00292399"/>
    <w:rsid w:val="002928E4"/>
    <w:rsid w:val="00292A28"/>
    <w:rsid w:val="002932C8"/>
    <w:rsid w:val="002942C8"/>
    <w:rsid w:val="00294445"/>
    <w:rsid w:val="00294B4D"/>
    <w:rsid w:val="0029537E"/>
    <w:rsid w:val="002960D5"/>
    <w:rsid w:val="002971F9"/>
    <w:rsid w:val="00297284"/>
    <w:rsid w:val="00297807"/>
    <w:rsid w:val="00297926"/>
    <w:rsid w:val="00297B17"/>
    <w:rsid w:val="002A02C9"/>
    <w:rsid w:val="002A046A"/>
    <w:rsid w:val="002A075C"/>
    <w:rsid w:val="002A092C"/>
    <w:rsid w:val="002A1062"/>
    <w:rsid w:val="002A16F1"/>
    <w:rsid w:val="002A2012"/>
    <w:rsid w:val="002A220A"/>
    <w:rsid w:val="002A2413"/>
    <w:rsid w:val="002A2F5E"/>
    <w:rsid w:val="002A352A"/>
    <w:rsid w:val="002A48E7"/>
    <w:rsid w:val="002A607D"/>
    <w:rsid w:val="002A64A7"/>
    <w:rsid w:val="002A6622"/>
    <w:rsid w:val="002B0636"/>
    <w:rsid w:val="002B132E"/>
    <w:rsid w:val="002B1499"/>
    <w:rsid w:val="002B21D8"/>
    <w:rsid w:val="002B2813"/>
    <w:rsid w:val="002B2D29"/>
    <w:rsid w:val="002B392A"/>
    <w:rsid w:val="002B3B31"/>
    <w:rsid w:val="002B3B43"/>
    <w:rsid w:val="002B3BBD"/>
    <w:rsid w:val="002B40B0"/>
    <w:rsid w:val="002B4CA2"/>
    <w:rsid w:val="002B4DA6"/>
    <w:rsid w:val="002B5A02"/>
    <w:rsid w:val="002B5DF0"/>
    <w:rsid w:val="002B609D"/>
    <w:rsid w:val="002B6302"/>
    <w:rsid w:val="002B665A"/>
    <w:rsid w:val="002B6A47"/>
    <w:rsid w:val="002B6AD4"/>
    <w:rsid w:val="002B7496"/>
    <w:rsid w:val="002C0C4B"/>
    <w:rsid w:val="002C10AD"/>
    <w:rsid w:val="002C1577"/>
    <w:rsid w:val="002C1EEA"/>
    <w:rsid w:val="002C2823"/>
    <w:rsid w:val="002C379A"/>
    <w:rsid w:val="002C47AD"/>
    <w:rsid w:val="002C5510"/>
    <w:rsid w:val="002C58A9"/>
    <w:rsid w:val="002C6034"/>
    <w:rsid w:val="002C635B"/>
    <w:rsid w:val="002C7276"/>
    <w:rsid w:val="002C770F"/>
    <w:rsid w:val="002C7CFF"/>
    <w:rsid w:val="002D04EF"/>
    <w:rsid w:val="002D08BC"/>
    <w:rsid w:val="002D0A5F"/>
    <w:rsid w:val="002D0BC6"/>
    <w:rsid w:val="002D12DB"/>
    <w:rsid w:val="002D17C5"/>
    <w:rsid w:val="002D1EE2"/>
    <w:rsid w:val="002D1F0B"/>
    <w:rsid w:val="002D2445"/>
    <w:rsid w:val="002D2590"/>
    <w:rsid w:val="002D365F"/>
    <w:rsid w:val="002D3F12"/>
    <w:rsid w:val="002D43C7"/>
    <w:rsid w:val="002D4830"/>
    <w:rsid w:val="002D4A68"/>
    <w:rsid w:val="002D4B2F"/>
    <w:rsid w:val="002D4F44"/>
    <w:rsid w:val="002D51DF"/>
    <w:rsid w:val="002D587C"/>
    <w:rsid w:val="002D5E9D"/>
    <w:rsid w:val="002D5ED6"/>
    <w:rsid w:val="002D6892"/>
    <w:rsid w:val="002D68C2"/>
    <w:rsid w:val="002D6C5D"/>
    <w:rsid w:val="002D7838"/>
    <w:rsid w:val="002D7C86"/>
    <w:rsid w:val="002E0692"/>
    <w:rsid w:val="002E08D7"/>
    <w:rsid w:val="002E0C48"/>
    <w:rsid w:val="002E152D"/>
    <w:rsid w:val="002E191D"/>
    <w:rsid w:val="002E1A54"/>
    <w:rsid w:val="002E1D74"/>
    <w:rsid w:val="002E2943"/>
    <w:rsid w:val="002E2C49"/>
    <w:rsid w:val="002E2CF1"/>
    <w:rsid w:val="002E34AF"/>
    <w:rsid w:val="002E378A"/>
    <w:rsid w:val="002E3BE7"/>
    <w:rsid w:val="002E4AAC"/>
    <w:rsid w:val="002E4AFC"/>
    <w:rsid w:val="002E4D22"/>
    <w:rsid w:val="002E53DE"/>
    <w:rsid w:val="002E563B"/>
    <w:rsid w:val="002E5CFA"/>
    <w:rsid w:val="002E62D2"/>
    <w:rsid w:val="002E734F"/>
    <w:rsid w:val="002E746D"/>
    <w:rsid w:val="002E74AF"/>
    <w:rsid w:val="002E758C"/>
    <w:rsid w:val="002E7B02"/>
    <w:rsid w:val="002E7D75"/>
    <w:rsid w:val="002F0DB9"/>
    <w:rsid w:val="002F1038"/>
    <w:rsid w:val="002F22FF"/>
    <w:rsid w:val="002F28AA"/>
    <w:rsid w:val="002F2D8F"/>
    <w:rsid w:val="002F2FF0"/>
    <w:rsid w:val="002F3C1C"/>
    <w:rsid w:val="002F3D68"/>
    <w:rsid w:val="002F3EC0"/>
    <w:rsid w:val="002F4893"/>
    <w:rsid w:val="002F4A00"/>
    <w:rsid w:val="002F4C60"/>
    <w:rsid w:val="002F5BE4"/>
    <w:rsid w:val="002F5E3B"/>
    <w:rsid w:val="002F64F6"/>
    <w:rsid w:val="002F6917"/>
    <w:rsid w:val="002F695B"/>
    <w:rsid w:val="002F715E"/>
    <w:rsid w:val="002F72DA"/>
    <w:rsid w:val="002F76B1"/>
    <w:rsid w:val="002F7D66"/>
    <w:rsid w:val="002F7DBE"/>
    <w:rsid w:val="0030090B"/>
    <w:rsid w:val="00302AE8"/>
    <w:rsid w:val="00302BB1"/>
    <w:rsid w:val="003030F0"/>
    <w:rsid w:val="0030404B"/>
    <w:rsid w:val="00304210"/>
    <w:rsid w:val="00304581"/>
    <w:rsid w:val="003048D7"/>
    <w:rsid w:val="00304A1B"/>
    <w:rsid w:val="00304AD2"/>
    <w:rsid w:val="00304EAA"/>
    <w:rsid w:val="003051B8"/>
    <w:rsid w:val="00305297"/>
    <w:rsid w:val="00305493"/>
    <w:rsid w:val="003062E6"/>
    <w:rsid w:val="0030662D"/>
    <w:rsid w:val="003068B6"/>
    <w:rsid w:val="003071F6"/>
    <w:rsid w:val="00307FE0"/>
    <w:rsid w:val="003101EC"/>
    <w:rsid w:val="00310497"/>
    <w:rsid w:val="0031049E"/>
    <w:rsid w:val="003107EB"/>
    <w:rsid w:val="00310E66"/>
    <w:rsid w:val="003110EE"/>
    <w:rsid w:val="003115D7"/>
    <w:rsid w:val="003119D3"/>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710E"/>
    <w:rsid w:val="003175E1"/>
    <w:rsid w:val="003179B0"/>
    <w:rsid w:val="00320223"/>
    <w:rsid w:val="00320299"/>
    <w:rsid w:val="00321154"/>
    <w:rsid w:val="003211B0"/>
    <w:rsid w:val="00321987"/>
    <w:rsid w:val="00321EDA"/>
    <w:rsid w:val="003224AA"/>
    <w:rsid w:val="003224E7"/>
    <w:rsid w:val="00322597"/>
    <w:rsid w:val="00322BA8"/>
    <w:rsid w:val="0032300A"/>
    <w:rsid w:val="00324628"/>
    <w:rsid w:val="00325D7A"/>
    <w:rsid w:val="00326145"/>
    <w:rsid w:val="0032616A"/>
    <w:rsid w:val="0032651C"/>
    <w:rsid w:val="00326B21"/>
    <w:rsid w:val="00327163"/>
    <w:rsid w:val="00327305"/>
    <w:rsid w:val="00327531"/>
    <w:rsid w:val="00327E9C"/>
    <w:rsid w:val="00330187"/>
    <w:rsid w:val="00330247"/>
    <w:rsid w:val="003309E4"/>
    <w:rsid w:val="00331C77"/>
    <w:rsid w:val="00331DB6"/>
    <w:rsid w:val="00331F96"/>
    <w:rsid w:val="00332002"/>
    <w:rsid w:val="0033228D"/>
    <w:rsid w:val="003327F8"/>
    <w:rsid w:val="00332A2B"/>
    <w:rsid w:val="00332B55"/>
    <w:rsid w:val="003336B9"/>
    <w:rsid w:val="0033476C"/>
    <w:rsid w:val="003348E0"/>
    <w:rsid w:val="00334DD8"/>
    <w:rsid w:val="00335069"/>
    <w:rsid w:val="00335630"/>
    <w:rsid w:val="00335EA8"/>
    <w:rsid w:val="003363DD"/>
    <w:rsid w:val="0033778D"/>
    <w:rsid w:val="00337810"/>
    <w:rsid w:val="00337A9C"/>
    <w:rsid w:val="00337B52"/>
    <w:rsid w:val="00337E8B"/>
    <w:rsid w:val="00340361"/>
    <w:rsid w:val="00340795"/>
    <w:rsid w:val="00340DFA"/>
    <w:rsid w:val="0034111C"/>
    <w:rsid w:val="00341947"/>
    <w:rsid w:val="00341E60"/>
    <w:rsid w:val="0034217F"/>
    <w:rsid w:val="00342AD2"/>
    <w:rsid w:val="00342B58"/>
    <w:rsid w:val="00343351"/>
    <w:rsid w:val="003435BA"/>
    <w:rsid w:val="00343954"/>
    <w:rsid w:val="00344883"/>
    <w:rsid w:val="00344BCA"/>
    <w:rsid w:val="00344D02"/>
    <w:rsid w:val="0034500C"/>
    <w:rsid w:val="00345405"/>
    <w:rsid w:val="0034582A"/>
    <w:rsid w:val="00345D69"/>
    <w:rsid w:val="00345DDD"/>
    <w:rsid w:val="00346500"/>
    <w:rsid w:val="00346B41"/>
    <w:rsid w:val="00346FED"/>
    <w:rsid w:val="00347A41"/>
    <w:rsid w:val="00347FCA"/>
    <w:rsid w:val="003501B6"/>
    <w:rsid w:val="003507FF"/>
    <w:rsid w:val="003515A9"/>
    <w:rsid w:val="00351E01"/>
    <w:rsid w:val="00352968"/>
    <w:rsid w:val="0035298B"/>
    <w:rsid w:val="00352D21"/>
    <w:rsid w:val="00353D79"/>
    <w:rsid w:val="0035419C"/>
    <w:rsid w:val="0035443D"/>
    <w:rsid w:val="00354517"/>
    <w:rsid w:val="00354AA2"/>
    <w:rsid w:val="00354D8B"/>
    <w:rsid w:val="00354FEE"/>
    <w:rsid w:val="00356275"/>
    <w:rsid w:val="00356C0B"/>
    <w:rsid w:val="00356EFA"/>
    <w:rsid w:val="00357B9C"/>
    <w:rsid w:val="00357F7D"/>
    <w:rsid w:val="003600C2"/>
    <w:rsid w:val="00361412"/>
    <w:rsid w:val="003615CA"/>
    <w:rsid w:val="003621AC"/>
    <w:rsid w:val="00362B60"/>
    <w:rsid w:val="00363884"/>
    <w:rsid w:val="003638E0"/>
    <w:rsid w:val="00363B2C"/>
    <w:rsid w:val="003642A6"/>
    <w:rsid w:val="003643D2"/>
    <w:rsid w:val="00364763"/>
    <w:rsid w:val="00364AA7"/>
    <w:rsid w:val="00364BC9"/>
    <w:rsid w:val="00365C3D"/>
    <w:rsid w:val="003663B4"/>
    <w:rsid w:val="00366BE9"/>
    <w:rsid w:val="00366C1B"/>
    <w:rsid w:val="003671EE"/>
    <w:rsid w:val="00367337"/>
    <w:rsid w:val="00367367"/>
    <w:rsid w:val="00367FD8"/>
    <w:rsid w:val="0037004E"/>
    <w:rsid w:val="0037051E"/>
    <w:rsid w:val="00370B63"/>
    <w:rsid w:val="00370FCC"/>
    <w:rsid w:val="003711AF"/>
    <w:rsid w:val="003723F4"/>
    <w:rsid w:val="003735C6"/>
    <w:rsid w:val="00374848"/>
    <w:rsid w:val="0037550F"/>
    <w:rsid w:val="003757A1"/>
    <w:rsid w:val="003759F1"/>
    <w:rsid w:val="00375D09"/>
    <w:rsid w:val="00375FEB"/>
    <w:rsid w:val="003762DC"/>
    <w:rsid w:val="00376815"/>
    <w:rsid w:val="00376AA7"/>
    <w:rsid w:val="00376FC4"/>
    <w:rsid w:val="0037739D"/>
    <w:rsid w:val="0037751C"/>
    <w:rsid w:val="00377680"/>
    <w:rsid w:val="00377D61"/>
    <w:rsid w:val="003803D4"/>
    <w:rsid w:val="0038060B"/>
    <w:rsid w:val="003806CA"/>
    <w:rsid w:val="00380B66"/>
    <w:rsid w:val="00380BE9"/>
    <w:rsid w:val="00380F3F"/>
    <w:rsid w:val="003813BB"/>
    <w:rsid w:val="00381953"/>
    <w:rsid w:val="00382232"/>
    <w:rsid w:val="0038262B"/>
    <w:rsid w:val="00382F1A"/>
    <w:rsid w:val="00382F9A"/>
    <w:rsid w:val="003830C7"/>
    <w:rsid w:val="00383282"/>
    <w:rsid w:val="00383422"/>
    <w:rsid w:val="00383425"/>
    <w:rsid w:val="00383658"/>
    <w:rsid w:val="00383FA7"/>
    <w:rsid w:val="0038412E"/>
    <w:rsid w:val="003844B8"/>
    <w:rsid w:val="00385679"/>
    <w:rsid w:val="00386053"/>
    <w:rsid w:val="003861E5"/>
    <w:rsid w:val="00386300"/>
    <w:rsid w:val="0038653B"/>
    <w:rsid w:val="00386C0A"/>
    <w:rsid w:val="00387459"/>
    <w:rsid w:val="0038771D"/>
    <w:rsid w:val="00387B43"/>
    <w:rsid w:val="00387E2A"/>
    <w:rsid w:val="00390935"/>
    <w:rsid w:val="00391DB3"/>
    <w:rsid w:val="00392355"/>
    <w:rsid w:val="0039241F"/>
    <w:rsid w:val="00392491"/>
    <w:rsid w:val="00392DAC"/>
    <w:rsid w:val="003931B8"/>
    <w:rsid w:val="003934B6"/>
    <w:rsid w:val="00393517"/>
    <w:rsid w:val="003935B0"/>
    <w:rsid w:val="00393E44"/>
    <w:rsid w:val="003941E5"/>
    <w:rsid w:val="00394301"/>
    <w:rsid w:val="003944A9"/>
    <w:rsid w:val="003970F7"/>
    <w:rsid w:val="0039747B"/>
    <w:rsid w:val="003977AB"/>
    <w:rsid w:val="00397AB6"/>
    <w:rsid w:val="00397ACA"/>
    <w:rsid w:val="00397FE2"/>
    <w:rsid w:val="003A10C3"/>
    <w:rsid w:val="003A1147"/>
    <w:rsid w:val="003A1D92"/>
    <w:rsid w:val="003A313A"/>
    <w:rsid w:val="003A35DD"/>
    <w:rsid w:val="003A42CB"/>
    <w:rsid w:val="003A455E"/>
    <w:rsid w:val="003A495D"/>
    <w:rsid w:val="003A4A40"/>
    <w:rsid w:val="003A4C7C"/>
    <w:rsid w:val="003A5611"/>
    <w:rsid w:val="003A57B8"/>
    <w:rsid w:val="003A5844"/>
    <w:rsid w:val="003A586E"/>
    <w:rsid w:val="003A597F"/>
    <w:rsid w:val="003A71A8"/>
    <w:rsid w:val="003A71D2"/>
    <w:rsid w:val="003A78D4"/>
    <w:rsid w:val="003A78E6"/>
    <w:rsid w:val="003A7F47"/>
    <w:rsid w:val="003B00CA"/>
    <w:rsid w:val="003B01CD"/>
    <w:rsid w:val="003B030B"/>
    <w:rsid w:val="003B0432"/>
    <w:rsid w:val="003B0821"/>
    <w:rsid w:val="003B0BE9"/>
    <w:rsid w:val="003B0F4B"/>
    <w:rsid w:val="003B0F4D"/>
    <w:rsid w:val="003B2E9B"/>
    <w:rsid w:val="003B2F8D"/>
    <w:rsid w:val="003B3C64"/>
    <w:rsid w:val="003B4A65"/>
    <w:rsid w:val="003B4FAA"/>
    <w:rsid w:val="003B547A"/>
    <w:rsid w:val="003B5E03"/>
    <w:rsid w:val="003B632F"/>
    <w:rsid w:val="003B6EC0"/>
    <w:rsid w:val="003B7373"/>
    <w:rsid w:val="003B74B7"/>
    <w:rsid w:val="003B75B9"/>
    <w:rsid w:val="003B7820"/>
    <w:rsid w:val="003B7A10"/>
    <w:rsid w:val="003C087B"/>
    <w:rsid w:val="003C0DA2"/>
    <w:rsid w:val="003C1A18"/>
    <w:rsid w:val="003C2798"/>
    <w:rsid w:val="003C2B40"/>
    <w:rsid w:val="003C38CD"/>
    <w:rsid w:val="003C4232"/>
    <w:rsid w:val="003C4D56"/>
    <w:rsid w:val="003C5C41"/>
    <w:rsid w:val="003C5CE6"/>
    <w:rsid w:val="003C5D2B"/>
    <w:rsid w:val="003C669D"/>
    <w:rsid w:val="003C6877"/>
    <w:rsid w:val="003C6EA0"/>
    <w:rsid w:val="003C7062"/>
    <w:rsid w:val="003C7461"/>
    <w:rsid w:val="003C7B31"/>
    <w:rsid w:val="003D028F"/>
    <w:rsid w:val="003D0788"/>
    <w:rsid w:val="003D1057"/>
    <w:rsid w:val="003D132A"/>
    <w:rsid w:val="003D1517"/>
    <w:rsid w:val="003D1D50"/>
    <w:rsid w:val="003D1F02"/>
    <w:rsid w:val="003D232D"/>
    <w:rsid w:val="003D286B"/>
    <w:rsid w:val="003D2938"/>
    <w:rsid w:val="003D3783"/>
    <w:rsid w:val="003D3B36"/>
    <w:rsid w:val="003D3FBA"/>
    <w:rsid w:val="003D402B"/>
    <w:rsid w:val="003D47D4"/>
    <w:rsid w:val="003D54B0"/>
    <w:rsid w:val="003D6B1F"/>
    <w:rsid w:val="003D764F"/>
    <w:rsid w:val="003D76EF"/>
    <w:rsid w:val="003D79DE"/>
    <w:rsid w:val="003E0042"/>
    <w:rsid w:val="003E0667"/>
    <w:rsid w:val="003E0BCE"/>
    <w:rsid w:val="003E0DF3"/>
    <w:rsid w:val="003E13E0"/>
    <w:rsid w:val="003E1660"/>
    <w:rsid w:val="003E182B"/>
    <w:rsid w:val="003E1CD1"/>
    <w:rsid w:val="003E21B4"/>
    <w:rsid w:val="003E2873"/>
    <w:rsid w:val="003E2A2D"/>
    <w:rsid w:val="003E34AB"/>
    <w:rsid w:val="003E3D95"/>
    <w:rsid w:val="003E47D4"/>
    <w:rsid w:val="003E489E"/>
    <w:rsid w:val="003E49AA"/>
    <w:rsid w:val="003E5032"/>
    <w:rsid w:val="003E50B9"/>
    <w:rsid w:val="003E64A9"/>
    <w:rsid w:val="003E6B81"/>
    <w:rsid w:val="003E6C41"/>
    <w:rsid w:val="003E7905"/>
    <w:rsid w:val="003E7CD2"/>
    <w:rsid w:val="003F0336"/>
    <w:rsid w:val="003F0367"/>
    <w:rsid w:val="003F07D2"/>
    <w:rsid w:val="003F236A"/>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4D0"/>
    <w:rsid w:val="0040066E"/>
    <w:rsid w:val="004009DD"/>
    <w:rsid w:val="00400F31"/>
    <w:rsid w:val="004014F8"/>
    <w:rsid w:val="00401C37"/>
    <w:rsid w:val="00402135"/>
    <w:rsid w:val="004023BA"/>
    <w:rsid w:val="00403016"/>
    <w:rsid w:val="0040449A"/>
    <w:rsid w:val="004053B3"/>
    <w:rsid w:val="0040626F"/>
    <w:rsid w:val="0040631E"/>
    <w:rsid w:val="00406582"/>
    <w:rsid w:val="00406B4D"/>
    <w:rsid w:val="004100B6"/>
    <w:rsid w:val="0041033C"/>
    <w:rsid w:val="00410367"/>
    <w:rsid w:val="004106F0"/>
    <w:rsid w:val="00410869"/>
    <w:rsid w:val="00412AB0"/>
    <w:rsid w:val="00412BE6"/>
    <w:rsid w:val="0041343E"/>
    <w:rsid w:val="0041443C"/>
    <w:rsid w:val="0041488F"/>
    <w:rsid w:val="004154F7"/>
    <w:rsid w:val="00415D30"/>
    <w:rsid w:val="00416895"/>
    <w:rsid w:val="00416D44"/>
    <w:rsid w:val="00416EFB"/>
    <w:rsid w:val="004176FF"/>
    <w:rsid w:val="00417A1E"/>
    <w:rsid w:val="00420082"/>
    <w:rsid w:val="00420111"/>
    <w:rsid w:val="00421A27"/>
    <w:rsid w:val="00421D0A"/>
    <w:rsid w:val="004226C3"/>
    <w:rsid w:val="004228BA"/>
    <w:rsid w:val="004229E7"/>
    <w:rsid w:val="00423520"/>
    <w:rsid w:val="004241C5"/>
    <w:rsid w:val="0042432D"/>
    <w:rsid w:val="004246F1"/>
    <w:rsid w:val="00424FA7"/>
    <w:rsid w:val="0042509A"/>
    <w:rsid w:val="004258E1"/>
    <w:rsid w:val="00425D2C"/>
    <w:rsid w:val="00425E85"/>
    <w:rsid w:val="004260FB"/>
    <w:rsid w:val="00426A87"/>
    <w:rsid w:val="00426DDF"/>
    <w:rsid w:val="00427007"/>
    <w:rsid w:val="004275D0"/>
    <w:rsid w:val="004309D8"/>
    <w:rsid w:val="00430BAF"/>
    <w:rsid w:val="00431160"/>
    <w:rsid w:val="004311CC"/>
    <w:rsid w:val="004313D1"/>
    <w:rsid w:val="004315A9"/>
    <w:rsid w:val="00432110"/>
    <w:rsid w:val="004328EE"/>
    <w:rsid w:val="00432BBC"/>
    <w:rsid w:val="00432F72"/>
    <w:rsid w:val="00433282"/>
    <w:rsid w:val="00433D49"/>
    <w:rsid w:val="00433D5B"/>
    <w:rsid w:val="00433EBE"/>
    <w:rsid w:val="00434406"/>
    <w:rsid w:val="0043457B"/>
    <w:rsid w:val="00434E6D"/>
    <w:rsid w:val="00434F26"/>
    <w:rsid w:val="00435E42"/>
    <w:rsid w:val="00436460"/>
    <w:rsid w:val="004367F3"/>
    <w:rsid w:val="00437229"/>
    <w:rsid w:val="00440E65"/>
    <w:rsid w:val="00440FED"/>
    <w:rsid w:val="00441B92"/>
    <w:rsid w:val="0044294F"/>
    <w:rsid w:val="00442AC7"/>
    <w:rsid w:val="00442E49"/>
    <w:rsid w:val="004437BA"/>
    <w:rsid w:val="00443A9F"/>
    <w:rsid w:val="004440FC"/>
    <w:rsid w:val="00444405"/>
    <w:rsid w:val="0044474B"/>
    <w:rsid w:val="00445FF7"/>
    <w:rsid w:val="00446F75"/>
    <w:rsid w:val="00450635"/>
    <w:rsid w:val="004508A8"/>
    <w:rsid w:val="00450D99"/>
    <w:rsid w:val="00450F6E"/>
    <w:rsid w:val="00451BAE"/>
    <w:rsid w:val="0045213E"/>
    <w:rsid w:val="004524FB"/>
    <w:rsid w:val="00452AAE"/>
    <w:rsid w:val="00452CA7"/>
    <w:rsid w:val="00453341"/>
    <w:rsid w:val="004545C6"/>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3A5"/>
    <w:rsid w:val="00461700"/>
    <w:rsid w:val="00461AAC"/>
    <w:rsid w:val="00462143"/>
    <w:rsid w:val="004621D5"/>
    <w:rsid w:val="00462490"/>
    <w:rsid w:val="00462AC9"/>
    <w:rsid w:val="00462AE6"/>
    <w:rsid w:val="00463BA7"/>
    <w:rsid w:val="00463DC3"/>
    <w:rsid w:val="0046478F"/>
    <w:rsid w:val="004647F1"/>
    <w:rsid w:val="00465299"/>
    <w:rsid w:val="00465322"/>
    <w:rsid w:val="00465611"/>
    <w:rsid w:val="00465BC3"/>
    <w:rsid w:val="00466A0F"/>
    <w:rsid w:val="00467502"/>
    <w:rsid w:val="0046795B"/>
    <w:rsid w:val="00467BE6"/>
    <w:rsid w:val="00470588"/>
    <w:rsid w:val="004708C0"/>
    <w:rsid w:val="0047115F"/>
    <w:rsid w:val="004712C5"/>
    <w:rsid w:val="004715CB"/>
    <w:rsid w:val="00471863"/>
    <w:rsid w:val="0047231C"/>
    <w:rsid w:val="00472E39"/>
    <w:rsid w:val="00473777"/>
    <w:rsid w:val="00473A14"/>
    <w:rsid w:val="00474096"/>
    <w:rsid w:val="004745A9"/>
    <w:rsid w:val="0047471B"/>
    <w:rsid w:val="00474871"/>
    <w:rsid w:val="00474CA8"/>
    <w:rsid w:val="00474E43"/>
    <w:rsid w:val="00475697"/>
    <w:rsid w:val="00475B6D"/>
    <w:rsid w:val="00476204"/>
    <w:rsid w:val="0047635A"/>
    <w:rsid w:val="004766DA"/>
    <w:rsid w:val="00476A55"/>
    <w:rsid w:val="00477995"/>
    <w:rsid w:val="0048076D"/>
    <w:rsid w:val="00480879"/>
    <w:rsid w:val="00481123"/>
    <w:rsid w:val="0048130A"/>
    <w:rsid w:val="00481312"/>
    <w:rsid w:val="0048134D"/>
    <w:rsid w:val="00481624"/>
    <w:rsid w:val="00481765"/>
    <w:rsid w:val="00481D90"/>
    <w:rsid w:val="00482700"/>
    <w:rsid w:val="00482782"/>
    <w:rsid w:val="00482927"/>
    <w:rsid w:val="00482B0B"/>
    <w:rsid w:val="00482CD4"/>
    <w:rsid w:val="00483261"/>
    <w:rsid w:val="0048328A"/>
    <w:rsid w:val="00483ED3"/>
    <w:rsid w:val="00484377"/>
    <w:rsid w:val="00484A97"/>
    <w:rsid w:val="00485B23"/>
    <w:rsid w:val="00485B50"/>
    <w:rsid w:val="00485D49"/>
    <w:rsid w:val="00485DF2"/>
    <w:rsid w:val="00486478"/>
    <w:rsid w:val="0048671B"/>
    <w:rsid w:val="00486B89"/>
    <w:rsid w:val="004874E4"/>
    <w:rsid w:val="00487FBB"/>
    <w:rsid w:val="004905F6"/>
    <w:rsid w:val="00490688"/>
    <w:rsid w:val="0049070D"/>
    <w:rsid w:val="004907D4"/>
    <w:rsid w:val="00490A39"/>
    <w:rsid w:val="00490E82"/>
    <w:rsid w:val="00491192"/>
    <w:rsid w:val="00491BE4"/>
    <w:rsid w:val="00491DB2"/>
    <w:rsid w:val="0049206C"/>
    <w:rsid w:val="00492721"/>
    <w:rsid w:val="00492877"/>
    <w:rsid w:val="00492A93"/>
    <w:rsid w:val="00492E53"/>
    <w:rsid w:val="004930DD"/>
    <w:rsid w:val="00493659"/>
    <w:rsid w:val="0049418C"/>
    <w:rsid w:val="00494DB4"/>
    <w:rsid w:val="004950C5"/>
    <w:rsid w:val="0049573D"/>
    <w:rsid w:val="00495BA6"/>
    <w:rsid w:val="00495F33"/>
    <w:rsid w:val="0049688C"/>
    <w:rsid w:val="00496A5B"/>
    <w:rsid w:val="00496DC2"/>
    <w:rsid w:val="00496E75"/>
    <w:rsid w:val="004A014C"/>
    <w:rsid w:val="004A0AA8"/>
    <w:rsid w:val="004A1345"/>
    <w:rsid w:val="004A1BA8"/>
    <w:rsid w:val="004A1FE4"/>
    <w:rsid w:val="004A2103"/>
    <w:rsid w:val="004A2A91"/>
    <w:rsid w:val="004A2CA9"/>
    <w:rsid w:val="004A2DF8"/>
    <w:rsid w:val="004A2F9C"/>
    <w:rsid w:val="004A3064"/>
    <w:rsid w:val="004A33EF"/>
    <w:rsid w:val="004A34C9"/>
    <w:rsid w:val="004A351E"/>
    <w:rsid w:val="004A3CB5"/>
    <w:rsid w:val="004A49D4"/>
    <w:rsid w:val="004A537D"/>
    <w:rsid w:val="004A65B3"/>
    <w:rsid w:val="004A67F0"/>
    <w:rsid w:val="004A71C3"/>
    <w:rsid w:val="004A71D5"/>
    <w:rsid w:val="004A724E"/>
    <w:rsid w:val="004A7279"/>
    <w:rsid w:val="004A7769"/>
    <w:rsid w:val="004A77B1"/>
    <w:rsid w:val="004B1431"/>
    <w:rsid w:val="004B1DF7"/>
    <w:rsid w:val="004B23AD"/>
    <w:rsid w:val="004B2965"/>
    <w:rsid w:val="004B29F6"/>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B5F"/>
    <w:rsid w:val="004C0C49"/>
    <w:rsid w:val="004C1096"/>
    <w:rsid w:val="004C1167"/>
    <w:rsid w:val="004C183D"/>
    <w:rsid w:val="004C243E"/>
    <w:rsid w:val="004C31D2"/>
    <w:rsid w:val="004C394F"/>
    <w:rsid w:val="004C3EB1"/>
    <w:rsid w:val="004C3EC7"/>
    <w:rsid w:val="004C3EEE"/>
    <w:rsid w:val="004C3FAF"/>
    <w:rsid w:val="004C483D"/>
    <w:rsid w:val="004C49EA"/>
    <w:rsid w:val="004C4C13"/>
    <w:rsid w:val="004C4D15"/>
    <w:rsid w:val="004C4E4F"/>
    <w:rsid w:val="004C54AA"/>
    <w:rsid w:val="004C61B0"/>
    <w:rsid w:val="004C64A5"/>
    <w:rsid w:val="004C6957"/>
    <w:rsid w:val="004C6DA5"/>
    <w:rsid w:val="004C6DBC"/>
    <w:rsid w:val="004C74F0"/>
    <w:rsid w:val="004C795A"/>
    <w:rsid w:val="004C7F93"/>
    <w:rsid w:val="004D045F"/>
    <w:rsid w:val="004D0AD8"/>
    <w:rsid w:val="004D1BC1"/>
    <w:rsid w:val="004D2629"/>
    <w:rsid w:val="004D26B8"/>
    <w:rsid w:val="004D2825"/>
    <w:rsid w:val="004D2C2C"/>
    <w:rsid w:val="004D2DF9"/>
    <w:rsid w:val="004D3497"/>
    <w:rsid w:val="004D38C2"/>
    <w:rsid w:val="004D3A0B"/>
    <w:rsid w:val="004D3DC9"/>
    <w:rsid w:val="004D3E6B"/>
    <w:rsid w:val="004D3EE8"/>
    <w:rsid w:val="004D41DC"/>
    <w:rsid w:val="004D462A"/>
    <w:rsid w:val="004D4FBD"/>
    <w:rsid w:val="004D4FC0"/>
    <w:rsid w:val="004D5CE7"/>
    <w:rsid w:val="004D6381"/>
    <w:rsid w:val="004D6DB2"/>
    <w:rsid w:val="004D7DA8"/>
    <w:rsid w:val="004D7FCA"/>
    <w:rsid w:val="004E10CD"/>
    <w:rsid w:val="004E1145"/>
    <w:rsid w:val="004E11FC"/>
    <w:rsid w:val="004E1401"/>
    <w:rsid w:val="004E152E"/>
    <w:rsid w:val="004E2892"/>
    <w:rsid w:val="004E362B"/>
    <w:rsid w:val="004E3681"/>
    <w:rsid w:val="004E3D74"/>
    <w:rsid w:val="004E56BC"/>
    <w:rsid w:val="004E5DE1"/>
    <w:rsid w:val="004E5F74"/>
    <w:rsid w:val="004E6112"/>
    <w:rsid w:val="004E7178"/>
    <w:rsid w:val="004E71C3"/>
    <w:rsid w:val="004E77E5"/>
    <w:rsid w:val="004E784B"/>
    <w:rsid w:val="004E79AD"/>
    <w:rsid w:val="004E7C09"/>
    <w:rsid w:val="004E7E1F"/>
    <w:rsid w:val="004F0224"/>
    <w:rsid w:val="004F0A73"/>
    <w:rsid w:val="004F0D45"/>
    <w:rsid w:val="004F0DB4"/>
    <w:rsid w:val="004F0E04"/>
    <w:rsid w:val="004F13B3"/>
    <w:rsid w:val="004F1CD3"/>
    <w:rsid w:val="004F1EBC"/>
    <w:rsid w:val="004F20E8"/>
    <w:rsid w:val="004F2576"/>
    <w:rsid w:val="004F29CC"/>
    <w:rsid w:val="004F3172"/>
    <w:rsid w:val="004F3B71"/>
    <w:rsid w:val="004F3FE5"/>
    <w:rsid w:val="004F512D"/>
    <w:rsid w:val="004F5154"/>
    <w:rsid w:val="004F52B3"/>
    <w:rsid w:val="004F5835"/>
    <w:rsid w:val="004F661C"/>
    <w:rsid w:val="004F6754"/>
    <w:rsid w:val="004F6D99"/>
    <w:rsid w:val="00500572"/>
    <w:rsid w:val="00500573"/>
    <w:rsid w:val="00500701"/>
    <w:rsid w:val="00500AE7"/>
    <w:rsid w:val="00501304"/>
    <w:rsid w:val="00501425"/>
    <w:rsid w:val="005014E5"/>
    <w:rsid w:val="00501707"/>
    <w:rsid w:val="00502050"/>
    <w:rsid w:val="0050318B"/>
    <w:rsid w:val="00503C87"/>
    <w:rsid w:val="00503CF2"/>
    <w:rsid w:val="0050407C"/>
    <w:rsid w:val="00504311"/>
    <w:rsid w:val="0050453E"/>
    <w:rsid w:val="0050485C"/>
    <w:rsid w:val="00504AC6"/>
    <w:rsid w:val="00504D75"/>
    <w:rsid w:val="005053A9"/>
    <w:rsid w:val="00505D51"/>
    <w:rsid w:val="00506356"/>
    <w:rsid w:val="00506498"/>
    <w:rsid w:val="005065AC"/>
    <w:rsid w:val="0050682E"/>
    <w:rsid w:val="00506845"/>
    <w:rsid w:val="00506D8A"/>
    <w:rsid w:val="00507204"/>
    <w:rsid w:val="005074D8"/>
    <w:rsid w:val="00507707"/>
    <w:rsid w:val="00507B7A"/>
    <w:rsid w:val="005103C9"/>
    <w:rsid w:val="00510873"/>
    <w:rsid w:val="00510ABC"/>
    <w:rsid w:val="00511079"/>
    <w:rsid w:val="00511411"/>
    <w:rsid w:val="00511CDF"/>
    <w:rsid w:val="00511E7D"/>
    <w:rsid w:val="00512829"/>
    <w:rsid w:val="00512E97"/>
    <w:rsid w:val="005134D0"/>
    <w:rsid w:val="005135FA"/>
    <w:rsid w:val="00513839"/>
    <w:rsid w:val="00513DEF"/>
    <w:rsid w:val="00513E72"/>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FD"/>
    <w:rsid w:val="00521425"/>
    <w:rsid w:val="00521669"/>
    <w:rsid w:val="00521928"/>
    <w:rsid w:val="00522035"/>
    <w:rsid w:val="00522747"/>
    <w:rsid w:val="00523130"/>
    <w:rsid w:val="00523264"/>
    <w:rsid w:val="00523E75"/>
    <w:rsid w:val="005243E0"/>
    <w:rsid w:val="00524DAF"/>
    <w:rsid w:val="00525692"/>
    <w:rsid w:val="005256F3"/>
    <w:rsid w:val="00525717"/>
    <w:rsid w:val="0052600E"/>
    <w:rsid w:val="0052628F"/>
    <w:rsid w:val="005265A3"/>
    <w:rsid w:val="00526783"/>
    <w:rsid w:val="005269BC"/>
    <w:rsid w:val="0052773A"/>
    <w:rsid w:val="00527FB1"/>
    <w:rsid w:val="00530423"/>
    <w:rsid w:val="00530949"/>
    <w:rsid w:val="0053107E"/>
    <w:rsid w:val="005312CB"/>
    <w:rsid w:val="00531420"/>
    <w:rsid w:val="0053162F"/>
    <w:rsid w:val="00531777"/>
    <w:rsid w:val="00531BE6"/>
    <w:rsid w:val="00532675"/>
    <w:rsid w:val="0053281C"/>
    <w:rsid w:val="00532AD0"/>
    <w:rsid w:val="0053311D"/>
    <w:rsid w:val="00533B93"/>
    <w:rsid w:val="005340C9"/>
    <w:rsid w:val="0053444E"/>
    <w:rsid w:val="0053445C"/>
    <w:rsid w:val="00535538"/>
    <w:rsid w:val="00535BA8"/>
    <w:rsid w:val="00535E88"/>
    <w:rsid w:val="00536698"/>
    <w:rsid w:val="0053742F"/>
    <w:rsid w:val="005375FE"/>
    <w:rsid w:val="00537F11"/>
    <w:rsid w:val="00540182"/>
    <w:rsid w:val="00540BFC"/>
    <w:rsid w:val="0054195A"/>
    <w:rsid w:val="005420DE"/>
    <w:rsid w:val="00542249"/>
    <w:rsid w:val="00542FAA"/>
    <w:rsid w:val="005431F5"/>
    <w:rsid w:val="00543707"/>
    <w:rsid w:val="005439D2"/>
    <w:rsid w:val="00543CC7"/>
    <w:rsid w:val="00543EBB"/>
    <w:rsid w:val="00544213"/>
    <w:rsid w:val="005444E8"/>
    <w:rsid w:val="0054486D"/>
    <w:rsid w:val="00544D6E"/>
    <w:rsid w:val="00544DB4"/>
    <w:rsid w:val="0054521C"/>
    <w:rsid w:val="005453CB"/>
    <w:rsid w:val="005453F3"/>
    <w:rsid w:val="00545549"/>
    <w:rsid w:val="005462C0"/>
    <w:rsid w:val="00546572"/>
    <w:rsid w:val="005469F5"/>
    <w:rsid w:val="00546F36"/>
    <w:rsid w:val="0055017B"/>
    <w:rsid w:val="005518ED"/>
    <w:rsid w:val="00551AE6"/>
    <w:rsid w:val="00552093"/>
    <w:rsid w:val="005530AC"/>
    <w:rsid w:val="00553E9D"/>
    <w:rsid w:val="00553FE1"/>
    <w:rsid w:val="00554A75"/>
    <w:rsid w:val="00554C49"/>
    <w:rsid w:val="00554E06"/>
    <w:rsid w:val="00554E4B"/>
    <w:rsid w:val="00554F00"/>
    <w:rsid w:val="0055519C"/>
    <w:rsid w:val="005554C1"/>
    <w:rsid w:val="0055583F"/>
    <w:rsid w:val="00555F67"/>
    <w:rsid w:val="00556E32"/>
    <w:rsid w:val="0055719E"/>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415C"/>
    <w:rsid w:val="005642C8"/>
    <w:rsid w:val="005649BF"/>
    <w:rsid w:val="00564DAE"/>
    <w:rsid w:val="00564F7B"/>
    <w:rsid w:val="005650ED"/>
    <w:rsid w:val="00565869"/>
    <w:rsid w:val="00567415"/>
    <w:rsid w:val="0056751F"/>
    <w:rsid w:val="00567610"/>
    <w:rsid w:val="00570CFD"/>
    <w:rsid w:val="00570D9F"/>
    <w:rsid w:val="00571672"/>
    <w:rsid w:val="0057185C"/>
    <w:rsid w:val="00571CA8"/>
    <w:rsid w:val="00572947"/>
    <w:rsid w:val="00573138"/>
    <w:rsid w:val="0057322B"/>
    <w:rsid w:val="005734A7"/>
    <w:rsid w:val="005746C4"/>
    <w:rsid w:val="00574891"/>
    <w:rsid w:val="00574B50"/>
    <w:rsid w:val="005753E3"/>
    <w:rsid w:val="005756BA"/>
    <w:rsid w:val="00575A87"/>
    <w:rsid w:val="00576294"/>
    <w:rsid w:val="00576F26"/>
    <w:rsid w:val="005773BE"/>
    <w:rsid w:val="00577835"/>
    <w:rsid w:val="00577DA3"/>
    <w:rsid w:val="00580793"/>
    <w:rsid w:val="00581470"/>
    <w:rsid w:val="00581B62"/>
    <w:rsid w:val="00581BAD"/>
    <w:rsid w:val="00581BCB"/>
    <w:rsid w:val="00581D62"/>
    <w:rsid w:val="00582087"/>
    <w:rsid w:val="0058228A"/>
    <w:rsid w:val="005822FC"/>
    <w:rsid w:val="00582D5F"/>
    <w:rsid w:val="00582F21"/>
    <w:rsid w:val="005831DD"/>
    <w:rsid w:val="00583DC5"/>
    <w:rsid w:val="00584320"/>
    <w:rsid w:val="00584AAD"/>
    <w:rsid w:val="00584CB8"/>
    <w:rsid w:val="00585484"/>
    <w:rsid w:val="00585800"/>
    <w:rsid w:val="0058624A"/>
    <w:rsid w:val="00586EB1"/>
    <w:rsid w:val="00587229"/>
    <w:rsid w:val="00587503"/>
    <w:rsid w:val="00587F7F"/>
    <w:rsid w:val="0059016A"/>
    <w:rsid w:val="00590E8D"/>
    <w:rsid w:val="00590FAC"/>
    <w:rsid w:val="00591400"/>
    <w:rsid w:val="00591511"/>
    <w:rsid w:val="00591E50"/>
    <w:rsid w:val="0059203B"/>
    <w:rsid w:val="00592CDA"/>
    <w:rsid w:val="00592F90"/>
    <w:rsid w:val="0059331A"/>
    <w:rsid w:val="00593A72"/>
    <w:rsid w:val="0059465F"/>
    <w:rsid w:val="00594BE0"/>
    <w:rsid w:val="00594D2A"/>
    <w:rsid w:val="00595A8C"/>
    <w:rsid w:val="00595C2C"/>
    <w:rsid w:val="0059606E"/>
    <w:rsid w:val="00596BBA"/>
    <w:rsid w:val="00596F32"/>
    <w:rsid w:val="00597386"/>
    <w:rsid w:val="005975C4"/>
    <w:rsid w:val="00597ED8"/>
    <w:rsid w:val="005A07CF"/>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D44"/>
    <w:rsid w:val="005A704D"/>
    <w:rsid w:val="005A7B68"/>
    <w:rsid w:val="005A7EB4"/>
    <w:rsid w:val="005B0B7D"/>
    <w:rsid w:val="005B0EBD"/>
    <w:rsid w:val="005B0EEB"/>
    <w:rsid w:val="005B1528"/>
    <w:rsid w:val="005B268C"/>
    <w:rsid w:val="005B2DD3"/>
    <w:rsid w:val="005B3012"/>
    <w:rsid w:val="005B3C6D"/>
    <w:rsid w:val="005B4045"/>
    <w:rsid w:val="005B50FF"/>
    <w:rsid w:val="005B609E"/>
    <w:rsid w:val="005B6483"/>
    <w:rsid w:val="005B6DF6"/>
    <w:rsid w:val="005B7B7D"/>
    <w:rsid w:val="005B7E11"/>
    <w:rsid w:val="005C0D89"/>
    <w:rsid w:val="005C1948"/>
    <w:rsid w:val="005C22F9"/>
    <w:rsid w:val="005C263C"/>
    <w:rsid w:val="005C2679"/>
    <w:rsid w:val="005C27B6"/>
    <w:rsid w:val="005C298C"/>
    <w:rsid w:val="005C4610"/>
    <w:rsid w:val="005C4BFB"/>
    <w:rsid w:val="005C5169"/>
    <w:rsid w:val="005C5623"/>
    <w:rsid w:val="005C5870"/>
    <w:rsid w:val="005C63DA"/>
    <w:rsid w:val="005C6F13"/>
    <w:rsid w:val="005C6F59"/>
    <w:rsid w:val="005C714E"/>
    <w:rsid w:val="005D03B6"/>
    <w:rsid w:val="005D059A"/>
    <w:rsid w:val="005D07C5"/>
    <w:rsid w:val="005D088D"/>
    <w:rsid w:val="005D14F6"/>
    <w:rsid w:val="005D21B7"/>
    <w:rsid w:val="005D2AB4"/>
    <w:rsid w:val="005D2DAD"/>
    <w:rsid w:val="005D4302"/>
    <w:rsid w:val="005D4C8D"/>
    <w:rsid w:val="005D5A20"/>
    <w:rsid w:val="005D664D"/>
    <w:rsid w:val="005D6DA1"/>
    <w:rsid w:val="005D701D"/>
    <w:rsid w:val="005D786C"/>
    <w:rsid w:val="005E00E5"/>
    <w:rsid w:val="005E0148"/>
    <w:rsid w:val="005E0225"/>
    <w:rsid w:val="005E049F"/>
    <w:rsid w:val="005E0BB6"/>
    <w:rsid w:val="005E1737"/>
    <w:rsid w:val="005E28A5"/>
    <w:rsid w:val="005E2C24"/>
    <w:rsid w:val="005E2E4A"/>
    <w:rsid w:val="005E3073"/>
    <w:rsid w:val="005E316A"/>
    <w:rsid w:val="005E4B83"/>
    <w:rsid w:val="005E5765"/>
    <w:rsid w:val="005E7088"/>
    <w:rsid w:val="005E72E8"/>
    <w:rsid w:val="005E7E1B"/>
    <w:rsid w:val="005F0108"/>
    <w:rsid w:val="005F0291"/>
    <w:rsid w:val="005F095E"/>
    <w:rsid w:val="005F0ECC"/>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EB"/>
    <w:rsid w:val="00600CEB"/>
    <w:rsid w:val="00601366"/>
    <w:rsid w:val="00602058"/>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8D3"/>
    <w:rsid w:val="006060C2"/>
    <w:rsid w:val="00606A26"/>
    <w:rsid w:val="00606D5F"/>
    <w:rsid w:val="00607218"/>
    <w:rsid w:val="00607AC7"/>
    <w:rsid w:val="00607C07"/>
    <w:rsid w:val="00607D81"/>
    <w:rsid w:val="00610747"/>
    <w:rsid w:val="00610B77"/>
    <w:rsid w:val="00610E03"/>
    <w:rsid w:val="0061176E"/>
    <w:rsid w:val="00612261"/>
    <w:rsid w:val="006136ED"/>
    <w:rsid w:val="00613DF7"/>
    <w:rsid w:val="00613EA5"/>
    <w:rsid w:val="006142B8"/>
    <w:rsid w:val="00614CD1"/>
    <w:rsid w:val="006151F2"/>
    <w:rsid w:val="0061567B"/>
    <w:rsid w:val="00615AC8"/>
    <w:rsid w:val="006169FE"/>
    <w:rsid w:val="00616EA5"/>
    <w:rsid w:val="006176C5"/>
    <w:rsid w:val="006200AB"/>
    <w:rsid w:val="00620B92"/>
    <w:rsid w:val="00620D97"/>
    <w:rsid w:val="00621378"/>
    <w:rsid w:val="0062152A"/>
    <w:rsid w:val="00621753"/>
    <w:rsid w:val="00622E8D"/>
    <w:rsid w:val="00623583"/>
    <w:rsid w:val="0062385C"/>
    <w:rsid w:val="0062462F"/>
    <w:rsid w:val="00624BA1"/>
    <w:rsid w:val="00624CA9"/>
    <w:rsid w:val="00625EC5"/>
    <w:rsid w:val="006264CB"/>
    <w:rsid w:val="0062661B"/>
    <w:rsid w:val="0062669B"/>
    <w:rsid w:val="006266B2"/>
    <w:rsid w:val="0062714C"/>
    <w:rsid w:val="006275F5"/>
    <w:rsid w:val="00627832"/>
    <w:rsid w:val="00627FE3"/>
    <w:rsid w:val="00630118"/>
    <w:rsid w:val="00630514"/>
    <w:rsid w:val="006310AE"/>
    <w:rsid w:val="00631467"/>
    <w:rsid w:val="00631762"/>
    <w:rsid w:val="00632196"/>
    <w:rsid w:val="00632900"/>
    <w:rsid w:val="00632BA2"/>
    <w:rsid w:val="00632DAD"/>
    <w:rsid w:val="00632F70"/>
    <w:rsid w:val="0063314C"/>
    <w:rsid w:val="00633BF2"/>
    <w:rsid w:val="00633F67"/>
    <w:rsid w:val="006345C3"/>
    <w:rsid w:val="0063488F"/>
    <w:rsid w:val="00634FD5"/>
    <w:rsid w:val="0063520D"/>
    <w:rsid w:val="006352A6"/>
    <w:rsid w:val="0063530F"/>
    <w:rsid w:val="00635781"/>
    <w:rsid w:val="006362F9"/>
    <w:rsid w:val="006364EE"/>
    <w:rsid w:val="006369A9"/>
    <w:rsid w:val="006373CD"/>
    <w:rsid w:val="00637B7A"/>
    <w:rsid w:val="00637C9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623"/>
    <w:rsid w:val="00644A21"/>
    <w:rsid w:val="00645C9F"/>
    <w:rsid w:val="00646305"/>
    <w:rsid w:val="00646353"/>
    <w:rsid w:val="0064670A"/>
    <w:rsid w:val="00646864"/>
    <w:rsid w:val="00646A6C"/>
    <w:rsid w:val="006475E6"/>
    <w:rsid w:val="006508B9"/>
    <w:rsid w:val="00650B2E"/>
    <w:rsid w:val="00650CA1"/>
    <w:rsid w:val="006511FC"/>
    <w:rsid w:val="0065143C"/>
    <w:rsid w:val="00651854"/>
    <w:rsid w:val="00652026"/>
    <w:rsid w:val="00652578"/>
    <w:rsid w:val="0065346A"/>
    <w:rsid w:val="00653691"/>
    <w:rsid w:val="006539E8"/>
    <w:rsid w:val="006541DF"/>
    <w:rsid w:val="00655728"/>
    <w:rsid w:val="00655C17"/>
    <w:rsid w:val="00656307"/>
    <w:rsid w:val="006565D8"/>
    <w:rsid w:val="00656B96"/>
    <w:rsid w:val="00656BA0"/>
    <w:rsid w:val="00656F79"/>
    <w:rsid w:val="006570EB"/>
    <w:rsid w:val="0065736B"/>
    <w:rsid w:val="006578E4"/>
    <w:rsid w:val="00657AE5"/>
    <w:rsid w:val="00657C05"/>
    <w:rsid w:val="0066161B"/>
    <w:rsid w:val="006619B0"/>
    <w:rsid w:val="006619C5"/>
    <w:rsid w:val="00662012"/>
    <w:rsid w:val="00662543"/>
    <w:rsid w:val="006626D0"/>
    <w:rsid w:val="006628BF"/>
    <w:rsid w:val="006628E9"/>
    <w:rsid w:val="006635DA"/>
    <w:rsid w:val="00663703"/>
    <w:rsid w:val="00663887"/>
    <w:rsid w:val="006641F4"/>
    <w:rsid w:val="00664234"/>
    <w:rsid w:val="00664E8C"/>
    <w:rsid w:val="0066501B"/>
    <w:rsid w:val="00665E2C"/>
    <w:rsid w:val="00665F7C"/>
    <w:rsid w:val="0066699A"/>
    <w:rsid w:val="006669DE"/>
    <w:rsid w:val="006669DF"/>
    <w:rsid w:val="00666DFC"/>
    <w:rsid w:val="00666EBB"/>
    <w:rsid w:val="00667325"/>
    <w:rsid w:val="006673F1"/>
    <w:rsid w:val="0066779E"/>
    <w:rsid w:val="00667F3C"/>
    <w:rsid w:val="00667FAF"/>
    <w:rsid w:val="0067096D"/>
    <w:rsid w:val="00670AF4"/>
    <w:rsid w:val="00671093"/>
    <w:rsid w:val="006719E0"/>
    <w:rsid w:val="00671F92"/>
    <w:rsid w:val="0067269D"/>
    <w:rsid w:val="00672988"/>
    <w:rsid w:val="00672C64"/>
    <w:rsid w:val="006735C6"/>
    <w:rsid w:val="00673CF8"/>
    <w:rsid w:val="0067446F"/>
    <w:rsid w:val="006746D2"/>
    <w:rsid w:val="00674A45"/>
    <w:rsid w:val="00674D5E"/>
    <w:rsid w:val="00674E6A"/>
    <w:rsid w:val="00675CF4"/>
    <w:rsid w:val="00675EB7"/>
    <w:rsid w:val="006763CC"/>
    <w:rsid w:val="006765CB"/>
    <w:rsid w:val="00676A64"/>
    <w:rsid w:val="00677925"/>
    <w:rsid w:val="006779BF"/>
    <w:rsid w:val="00677F44"/>
    <w:rsid w:val="00680462"/>
    <w:rsid w:val="0068076E"/>
    <w:rsid w:val="00680F46"/>
    <w:rsid w:val="006812FB"/>
    <w:rsid w:val="00681BC4"/>
    <w:rsid w:val="00681FDC"/>
    <w:rsid w:val="00682B53"/>
    <w:rsid w:val="00682F27"/>
    <w:rsid w:val="00683CFD"/>
    <w:rsid w:val="0068452A"/>
    <w:rsid w:val="006859DB"/>
    <w:rsid w:val="0068678D"/>
    <w:rsid w:val="00687399"/>
    <w:rsid w:val="00687488"/>
    <w:rsid w:val="0068782A"/>
    <w:rsid w:val="00690189"/>
    <w:rsid w:val="006904ED"/>
    <w:rsid w:val="00690E2E"/>
    <w:rsid w:val="006915D7"/>
    <w:rsid w:val="00691E9F"/>
    <w:rsid w:val="006926A6"/>
    <w:rsid w:val="00692814"/>
    <w:rsid w:val="006932E7"/>
    <w:rsid w:val="00693347"/>
    <w:rsid w:val="0069334C"/>
    <w:rsid w:val="00693739"/>
    <w:rsid w:val="00693DE7"/>
    <w:rsid w:val="006948EF"/>
    <w:rsid w:val="00694E63"/>
    <w:rsid w:val="00694F1B"/>
    <w:rsid w:val="00695049"/>
    <w:rsid w:val="006955DF"/>
    <w:rsid w:val="006960B2"/>
    <w:rsid w:val="006965E2"/>
    <w:rsid w:val="00696D63"/>
    <w:rsid w:val="00696EE4"/>
    <w:rsid w:val="006A026F"/>
    <w:rsid w:val="006A032F"/>
    <w:rsid w:val="006A0A36"/>
    <w:rsid w:val="006A0C46"/>
    <w:rsid w:val="006A0DD3"/>
    <w:rsid w:val="006A1135"/>
    <w:rsid w:val="006A146E"/>
    <w:rsid w:val="006A1967"/>
    <w:rsid w:val="006A1AD9"/>
    <w:rsid w:val="006A1BEB"/>
    <w:rsid w:val="006A1ECF"/>
    <w:rsid w:val="006A23C0"/>
    <w:rsid w:val="006A3022"/>
    <w:rsid w:val="006A3052"/>
    <w:rsid w:val="006A37E6"/>
    <w:rsid w:val="006A41AE"/>
    <w:rsid w:val="006A4856"/>
    <w:rsid w:val="006A5474"/>
    <w:rsid w:val="006A564B"/>
    <w:rsid w:val="006A5D15"/>
    <w:rsid w:val="006B02AF"/>
    <w:rsid w:val="006B02E8"/>
    <w:rsid w:val="006B05B5"/>
    <w:rsid w:val="006B0EE6"/>
    <w:rsid w:val="006B1545"/>
    <w:rsid w:val="006B23B9"/>
    <w:rsid w:val="006B2A07"/>
    <w:rsid w:val="006B2B11"/>
    <w:rsid w:val="006B2DA7"/>
    <w:rsid w:val="006B2F4D"/>
    <w:rsid w:val="006B306B"/>
    <w:rsid w:val="006B3682"/>
    <w:rsid w:val="006B3974"/>
    <w:rsid w:val="006B402E"/>
    <w:rsid w:val="006B48CB"/>
    <w:rsid w:val="006B5616"/>
    <w:rsid w:val="006B564D"/>
    <w:rsid w:val="006B61F6"/>
    <w:rsid w:val="006B65A8"/>
    <w:rsid w:val="006B705A"/>
    <w:rsid w:val="006C0037"/>
    <w:rsid w:val="006C020D"/>
    <w:rsid w:val="006C1445"/>
    <w:rsid w:val="006C1DED"/>
    <w:rsid w:val="006C28FC"/>
    <w:rsid w:val="006C31C6"/>
    <w:rsid w:val="006C33FB"/>
    <w:rsid w:val="006C33FF"/>
    <w:rsid w:val="006C394E"/>
    <w:rsid w:val="006C3AB0"/>
    <w:rsid w:val="006C3F5E"/>
    <w:rsid w:val="006C4EEA"/>
    <w:rsid w:val="006C4FC1"/>
    <w:rsid w:val="006C51A5"/>
    <w:rsid w:val="006C5237"/>
    <w:rsid w:val="006C529D"/>
    <w:rsid w:val="006C5D5B"/>
    <w:rsid w:val="006C6642"/>
    <w:rsid w:val="006C6798"/>
    <w:rsid w:val="006C6DF7"/>
    <w:rsid w:val="006C75FC"/>
    <w:rsid w:val="006C79E4"/>
    <w:rsid w:val="006D019C"/>
    <w:rsid w:val="006D0630"/>
    <w:rsid w:val="006D0826"/>
    <w:rsid w:val="006D0B55"/>
    <w:rsid w:val="006D0C12"/>
    <w:rsid w:val="006D0E6B"/>
    <w:rsid w:val="006D1A4E"/>
    <w:rsid w:val="006D2146"/>
    <w:rsid w:val="006D3141"/>
    <w:rsid w:val="006D32B0"/>
    <w:rsid w:val="006D4CBA"/>
    <w:rsid w:val="006D5DEC"/>
    <w:rsid w:val="006D632E"/>
    <w:rsid w:val="006D6C9C"/>
    <w:rsid w:val="006D6E8F"/>
    <w:rsid w:val="006E07B0"/>
    <w:rsid w:val="006E094A"/>
    <w:rsid w:val="006E0C20"/>
    <w:rsid w:val="006E0F6E"/>
    <w:rsid w:val="006E0F92"/>
    <w:rsid w:val="006E12B1"/>
    <w:rsid w:val="006E13D1"/>
    <w:rsid w:val="006E2204"/>
    <w:rsid w:val="006E24BE"/>
    <w:rsid w:val="006E2563"/>
    <w:rsid w:val="006E26AB"/>
    <w:rsid w:val="006E26D2"/>
    <w:rsid w:val="006E26DE"/>
    <w:rsid w:val="006E275D"/>
    <w:rsid w:val="006E3890"/>
    <w:rsid w:val="006E390C"/>
    <w:rsid w:val="006E3A7C"/>
    <w:rsid w:val="006E4D0C"/>
    <w:rsid w:val="006E4D1B"/>
    <w:rsid w:val="006E5534"/>
    <w:rsid w:val="006E5B18"/>
    <w:rsid w:val="006E5B78"/>
    <w:rsid w:val="006E62B4"/>
    <w:rsid w:val="006E67BA"/>
    <w:rsid w:val="006E699D"/>
    <w:rsid w:val="006E6BA3"/>
    <w:rsid w:val="006E7478"/>
    <w:rsid w:val="006E7ACE"/>
    <w:rsid w:val="006E7FC9"/>
    <w:rsid w:val="006F1116"/>
    <w:rsid w:val="006F17A2"/>
    <w:rsid w:val="006F1AB0"/>
    <w:rsid w:val="006F2420"/>
    <w:rsid w:val="006F24FA"/>
    <w:rsid w:val="006F2654"/>
    <w:rsid w:val="006F2D49"/>
    <w:rsid w:val="006F3024"/>
    <w:rsid w:val="006F3196"/>
    <w:rsid w:val="006F38CE"/>
    <w:rsid w:val="006F3C54"/>
    <w:rsid w:val="006F418C"/>
    <w:rsid w:val="006F572E"/>
    <w:rsid w:val="006F5E64"/>
    <w:rsid w:val="006F60DE"/>
    <w:rsid w:val="006F65FB"/>
    <w:rsid w:val="006F69B3"/>
    <w:rsid w:val="006F75AF"/>
    <w:rsid w:val="006F7914"/>
    <w:rsid w:val="006F7BE1"/>
    <w:rsid w:val="006F7C0B"/>
    <w:rsid w:val="006F7E46"/>
    <w:rsid w:val="00700AB4"/>
    <w:rsid w:val="00700FCA"/>
    <w:rsid w:val="007015C6"/>
    <w:rsid w:val="00701645"/>
    <w:rsid w:val="00701BBC"/>
    <w:rsid w:val="007021D8"/>
    <w:rsid w:val="00702704"/>
    <w:rsid w:val="00702D5A"/>
    <w:rsid w:val="00702EF7"/>
    <w:rsid w:val="00703571"/>
    <w:rsid w:val="00703989"/>
    <w:rsid w:val="00703C19"/>
    <w:rsid w:val="00703CE3"/>
    <w:rsid w:val="007041E1"/>
    <w:rsid w:val="007042E9"/>
    <w:rsid w:val="00704495"/>
    <w:rsid w:val="00705062"/>
    <w:rsid w:val="0070548E"/>
    <w:rsid w:val="00705BBE"/>
    <w:rsid w:val="0070611C"/>
    <w:rsid w:val="00707AF4"/>
    <w:rsid w:val="007108D3"/>
    <w:rsid w:val="00710F10"/>
    <w:rsid w:val="00711056"/>
    <w:rsid w:val="0071118B"/>
    <w:rsid w:val="00711316"/>
    <w:rsid w:val="00711C66"/>
    <w:rsid w:val="00711C6D"/>
    <w:rsid w:val="00711E13"/>
    <w:rsid w:val="00712EDA"/>
    <w:rsid w:val="007136D0"/>
    <w:rsid w:val="007137A0"/>
    <w:rsid w:val="00713932"/>
    <w:rsid w:val="007155A9"/>
    <w:rsid w:val="007158E1"/>
    <w:rsid w:val="00716336"/>
    <w:rsid w:val="00716AA6"/>
    <w:rsid w:val="0071705B"/>
    <w:rsid w:val="007174F6"/>
    <w:rsid w:val="00717A7A"/>
    <w:rsid w:val="00720505"/>
    <w:rsid w:val="00722331"/>
    <w:rsid w:val="0072247E"/>
    <w:rsid w:val="0072344C"/>
    <w:rsid w:val="007236A3"/>
    <w:rsid w:val="007239B6"/>
    <w:rsid w:val="00724792"/>
    <w:rsid w:val="0072490A"/>
    <w:rsid w:val="00724B64"/>
    <w:rsid w:val="0072517D"/>
    <w:rsid w:val="00725780"/>
    <w:rsid w:val="007257A0"/>
    <w:rsid w:val="0072597F"/>
    <w:rsid w:val="00725FB1"/>
    <w:rsid w:val="0072656F"/>
    <w:rsid w:val="00726878"/>
    <w:rsid w:val="00726A86"/>
    <w:rsid w:val="00726AA2"/>
    <w:rsid w:val="0072741A"/>
    <w:rsid w:val="0073067D"/>
    <w:rsid w:val="00730EE2"/>
    <w:rsid w:val="00730F82"/>
    <w:rsid w:val="0073124A"/>
    <w:rsid w:val="00731A6A"/>
    <w:rsid w:val="00731B79"/>
    <w:rsid w:val="00732079"/>
    <w:rsid w:val="007320A2"/>
    <w:rsid w:val="007327CE"/>
    <w:rsid w:val="007329F4"/>
    <w:rsid w:val="00732ABF"/>
    <w:rsid w:val="00733893"/>
    <w:rsid w:val="00733BDC"/>
    <w:rsid w:val="00734A05"/>
    <w:rsid w:val="00734ECC"/>
    <w:rsid w:val="00735A10"/>
    <w:rsid w:val="00735C6F"/>
    <w:rsid w:val="00736635"/>
    <w:rsid w:val="00737114"/>
    <w:rsid w:val="00737A31"/>
    <w:rsid w:val="00737C18"/>
    <w:rsid w:val="00737EA7"/>
    <w:rsid w:val="00740267"/>
    <w:rsid w:val="00742295"/>
    <w:rsid w:val="00742993"/>
    <w:rsid w:val="00742A6A"/>
    <w:rsid w:val="00742B44"/>
    <w:rsid w:val="00742FF2"/>
    <w:rsid w:val="0074417B"/>
    <w:rsid w:val="007451D9"/>
    <w:rsid w:val="0074656E"/>
    <w:rsid w:val="007472D5"/>
    <w:rsid w:val="007509A9"/>
    <w:rsid w:val="00751ECA"/>
    <w:rsid w:val="00752316"/>
    <w:rsid w:val="007524BB"/>
    <w:rsid w:val="00752B03"/>
    <w:rsid w:val="00753454"/>
    <w:rsid w:val="00753BB5"/>
    <w:rsid w:val="00753E8C"/>
    <w:rsid w:val="007544F1"/>
    <w:rsid w:val="00755E4A"/>
    <w:rsid w:val="007562B5"/>
    <w:rsid w:val="007565EA"/>
    <w:rsid w:val="00756832"/>
    <w:rsid w:val="00757C54"/>
    <w:rsid w:val="00757F0B"/>
    <w:rsid w:val="00760DF2"/>
    <w:rsid w:val="00760E0D"/>
    <w:rsid w:val="0076160F"/>
    <w:rsid w:val="007626D0"/>
    <w:rsid w:val="00762767"/>
    <w:rsid w:val="0076322F"/>
    <w:rsid w:val="00764537"/>
    <w:rsid w:val="007651CA"/>
    <w:rsid w:val="00766AF0"/>
    <w:rsid w:val="00766C3E"/>
    <w:rsid w:val="00767519"/>
    <w:rsid w:val="007704E1"/>
    <w:rsid w:val="00770C92"/>
    <w:rsid w:val="00770D2B"/>
    <w:rsid w:val="00770E5C"/>
    <w:rsid w:val="0077169B"/>
    <w:rsid w:val="00772569"/>
    <w:rsid w:val="00772E8C"/>
    <w:rsid w:val="00772FDB"/>
    <w:rsid w:val="0077316B"/>
    <w:rsid w:val="007736D3"/>
    <w:rsid w:val="007747E6"/>
    <w:rsid w:val="007749BF"/>
    <w:rsid w:val="0077500F"/>
    <w:rsid w:val="0077545C"/>
    <w:rsid w:val="0077548E"/>
    <w:rsid w:val="007757AB"/>
    <w:rsid w:val="00775852"/>
    <w:rsid w:val="00775A3A"/>
    <w:rsid w:val="00777315"/>
    <w:rsid w:val="0077757C"/>
    <w:rsid w:val="00777AB2"/>
    <w:rsid w:val="00780130"/>
    <w:rsid w:val="007802E4"/>
    <w:rsid w:val="00780919"/>
    <w:rsid w:val="00780A5F"/>
    <w:rsid w:val="00781589"/>
    <w:rsid w:val="007820D0"/>
    <w:rsid w:val="007823AB"/>
    <w:rsid w:val="00782440"/>
    <w:rsid w:val="007826C8"/>
    <w:rsid w:val="00782903"/>
    <w:rsid w:val="00783DA9"/>
    <w:rsid w:val="00783FD8"/>
    <w:rsid w:val="00784190"/>
    <w:rsid w:val="0078457B"/>
    <w:rsid w:val="00784756"/>
    <w:rsid w:val="00784B3D"/>
    <w:rsid w:val="0078539D"/>
    <w:rsid w:val="007856C1"/>
    <w:rsid w:val="00785B0F"/>
    <w:rsid w:val="00785EFE"/>
    <w:rsid w:val="00787051"/>
    <w:rsid w:val="0079018D"/>
    <w:rsid w:val="007901DC"/>
    <w:rsid w:val="00790DA0"/>
    <w:rsid w:val="0079131E"/>
    <w:rsid w:val="00791538"/>
    <w:rsid w:val="0079189A"/>
    <w:rsid w:val="00791A00"/>
    <w:rsid w:val="00791DDB"/>
    <w:rsid w:val="007926F8"/>
    <w:rsid w:val="00792CEE"/>
    <w:rsid w:val="007936A8"/>
    <w:rsid w:val="007948AB"/>
    <w:rsid w:val="0079535A"/>
    <w:rsid w:val="00796070"/>
    <w:rsid w:val="007962B4"/>
    <w:rsid w:val="0079648B"/>
    <w:rsid w:val="007964C1"/>
    <w:rsid w:val="00796D36"/>
    <w:rsid w:val="00796E6B"/>
    <w:rsid w:val="00796F15"/>
    <w:rsid w:val="007974EF"/>
    <w:rsid w:val="00797E22"/>
    <w:rsid w:val="00797EFF"/>
    <w:rsid w:val="007A07D3"/>
    <w:rsid w:val="007A1171"/>
    <w:rsid w:val="007A138F"/>
    <w:rsid w:val="007A1640"/>
    <w:rsid w:val="007A16AB"/>
    <w:rsid w:val="007A1AE4"/>
    <w:rsid w:val="007A2413"/>
    <w:rsid w:val="007A2DB2"/>
    <w:rsid w:val="007A3095"/>
    <w:rsid w:val="007A345E"/>
    <w:rsid w:val="007A39DF"/>
    <w:rsid w:val="007A39E3"/>
    <w:rsid w:val="007A43ED"/>
    <w:rsid w:val="007A4BDD"/>
    <w:rsid w:val="007A54E0"/>
    <w:rsid w:val="007A6195"/>
    <w:rsid w:val="007A6490"/>
    <w:rsid w:val="007A6B10"/>
    <w:rsid w:val="007A6CFD"/>
    <w:rsid w:val="007A72EE"/>
    <w:rsid w:val="007B01ED"/>
    <w:rsid w:val="007B0397"/>
    <w:rsid w:val="007B0A18"/>
    <w:rsid w:val="007B0ADB"/>
    <w:rsid w:val="007B16BB"/>
    <w:rsid w:val="007B1FEE"/>
    <w:rsid w:val="007B26EE"/>
    <w:rsid w:val="007B2A51"/>
    <w:rsid w:val="007B2E1A"/>
    <w:rsid w:val="007B3502"/>
    <w:rsid w:val="007B3976"/>
    <w:rsid w:val="007B3E6D"/>
    <w:rsid w:val="007B44ED"/>
    <w:rsid w:val="007B491A"/>
    <w:rsid w:val="007B4AAE"/>
    <w:rsid w:val="007B5028"/>
    <w:rsid w:val="007B5370"/>
    <w:rsid w:val="007B61F5"/>
    <w:rsid w:val="007B63FA"/>
    <w:rsid w:val="007B6F71"/>
    <w:rsid w:val="007B7494"/>
    <w:rsid w:val="007B7496"/>
    <w:rsid w:val="007B7A0E"/>
    <w:rsid w:val="007B7EF0"/>
    <w:rsid w:val="007B7F89"/>
    <w:rsid w:val="007C0011"/>
    <w:rsid w:val="007C0802"/>
    <w:rsid w:val="007C12BE"/>
    <w:rsid w:val="007C144A"/>
    <w:rsid w:val="007C15D5"/>
    <w:rsid w:val="007C1CE0"/>
    <w:rsid w:val="007C2739"/>
    <w:rsid w:val="007C4B0F"/>
    <w:rsid w:val="007C4DAD"/>
    <w:rsid w:val="007C500F"/>
    <w:rsid w:val="007C5830"/>
    <w:rsid w:val="007C5933"/>
    <w:rsid w:val="007C599E"/>
    <w:rsid w:val="007C5D56"/>
    <w:rsid w:val="007C5DB8"/>
    <w:rsid w:val="007C5DCE"/>
    <w:rsid w:val="007C6CA2"/>
    <w:rsid w:val="007C78F0"/>
    <w:rsid w:val="007C7B41"/>
    <w:rsid w:val="007D05B2"/>
    <w:rsid w:val="007D05FA"/>
    <w:rsid w:val="007D0C44"/>
    <w:rsid w:val="007D1906"/>
    <w:rsid w:val="007D1972"/>
    <w:rsid w:val="007D1F33"/>
    <w:rsid w:val="007D1F86"/>
    <w:rsid w:val="007D24D2"/>
    <w:rsid w:val="007D275B"/>
    <w:rsid w:val="007D30B6"/>
    <w:rsid w:val="007D3307"/>
    <w:rsid w:val="007D337C"/>
    <w:rsid w:val="007D44A7"/>
    <w:rsid w:val="007D44C0"/>
    <w:rsid w:val="007D44CE"/>
    <w:rsid w:val="007D4B66"/>
    <w:rsid w:val="007D4E53"/>
    <w:rsid w:val="007D54F8"/>
    <w:rsid w:val="007D5E27"/>
    <w:rsid w:val="007D6031"/>
    <w:rsid w:val="007D6F64"/>
    <w:rsid w:val="007D7ECD"/>
    <w:rsid w:val="007E0F89"/>
    <w:rsid w:val="007E1043"/>
    <w:rsid w:val="007E170F"/>
    <w:rsid w:val="007E1782"/>
    <w:rsid w:val="007E21F9"/>
    <w:rsid w:val="007E25AB"/>
    <w:rsid w:val="007E2F41"/>
    <w:rsid w:val="007E37ED"/>
    <w:rsid w:val="007E3833"/>
    <w:rsid w:val="007E44FC"/>
    <w:rsid w:val="007E5366"/>
    <w:rsid w:val="007E5AC2"/>
    <w:rsid w:val="007E60B5"/>
    <w:rsid w:val="007E6402"/>
    <w:rsid w:val="007E661D"/>
    <w:rsid w:val="007E6D43"/>
    <w:rsid w:val="007E79C5"/>
    <w:rsid w:val="007E7C09"/>
    <w:rsid w:val="007E7DD2"/>
    <w:rsid w:val="007F01FF"/>
    <w:rsid w:val="007F0542"/>
    <w:rsid w:val="007F0798"/>
    <w:rsid w:val="007F1002"/>
    <w:rsid w:val="007F2845"/>
    <w:rsid w:val="007F2A69"/>
    <w:rsid w:val="007F2C87"/>
    <w:rsid w:val="007F38A2"/>
    <w:rsid w:val="007F4197"/>
    <w:rsid w:val="007F43BC"/>
    <w:rsid w:val="007F4740"/>
    <w:rsid w:val="0080067C"/>
    <w:rsid w:val="008006C6"/>
    <w:rsid w:val="00800C4A"/>
    <w:rsid w:val="00800C52"/>
    <w:rsid w:val="00801041"/>
    <w:rsid w:val="0080153E"/>
    <w:rsid w:val="008017AD"/>
    <w:rsid w:val="008018C8"/>
    <w:rsid w:val="00801E31"/>
    <w:rsid w:val="00801E8F"/>
    <w:rsid w:val="00801F87"/>
    <w:rsid w:val="0080263A"/>
    <w:rsid w:val="00803191"/>
    <w:rsid w:val="0080329D"/>
    <w:rsid w:val="00803434"/>
    <w:rsid w:val="008055A9"/>
    <w:rsid w:val="00805C3B"/>
    <w:rsid w:val="00805DE2"/>
    <w:rsid w:val="00805DF6"/>
    <w:rsid w:val="00806BCD"/>
    <w:rsid w:val="0080710B"/>
    <w:rsid w:val="00807175"/>
    <w:rsid w:val="0080742D"/>
    <w:rsid w:val="00807B9A"/>
    <w:rsid w:val="008100AC"/>
    <w:rsid w:val="00810C05"/>
    <w:rsid w:val="0081151E"/>
    <w:rsid w:val="008119C2"/>
    <w:rsid w:val="00811A5F"/>
    <w:rsid w:val="00811D53"/>
    <w:rsid w:val="00812498"/>
    <w:rsid w:val="008127E6"/>
    <w:rsid w:val="0081336E"/>
    <w:rsid w:val="00813928"/>
    <w:rsid w:val="00814D06"/>
    <w:rsid w:val="00814EC2"/>
    <w:rsid w:val="008154EC"/>
    <w:rsid w:val="00815D29"/>
    <w:rsid w:val="00815D2E"/>
    <w:rsid w:val="0081666C"/>
    <w:rsid w:val="00816BAB"/>
    <w:rsid w:val="00817334"/>
    <w:rsid w:val="00820123"/>
    <w:rsid w:val="008203E5"/>
    <w:rsid w:val="00820DC7"/>
    <w:rsid w:val="00820FFB"/>
    <w:rsid w:val="00821698"/>
    <w:rsid w:val="008221FE"/>
    <w:rsid w:val="0082284C"/>
    <w:rsid w:val="00822A05"/>
    <w:rsid w:val="00822BF5"/>
    <w:rsid w:val="00823382"/>
    <w:rsid w:val="00823E57"/>
    <w:rsid w:val="00824894"/>
    <w:rsid w:val="00824D88"/>
    <w:rsid w:val="00824FFF"/>
    <w:rsid w:val="00825366"/>
    <w:rsid w:val="00825AED"/>
    <w:rsid w:val="00825E84"/>
    <w:rsid w:val="00826A60"/>
    <w:rsid w:val="00826C7B"/>
    <w:rsid w:val="00826DD9"/>
    <w:rsid w:val="00826E01"/>
    <w:rsid w:val="008277A8"/>
    <w:rsid w:val="008278B6"/>
    <w:rsid w:val="008307ED"/>
    <w:rsid w:val="00830B3B"/>
    <w:rsid w:val="00832925"/>
    <w:rsid w:val="0083350F"/>
    <w:rsid w:val="0083397C"/>
    <w:rsid w:val="0083402C"/>
    <w:rsid w:val="00834358"/>
    <w:rsid w:val="008346BD"/>
    <w:rsid w:val="00834923"/>
    <w:rsid w:val="00834F2D"/>
    <w:rsid w:val="00834FA2"/>
    <w:rsid w:val="0083553B"/>
    <w:rsid w:val="00835794"/>
    <w:rsid w:val="008359EB"/>
    <w:rsid w:val="00835CD4"/>
    <w:rsid w:val="008361BB"/>
    <w:rsid w:val="00836B7A"/>
    <w:rsid w:val="008379AF"/>
    <w:rsid w:val="00837B90"/>
    <w:rsid w:val="00840121"/>
    <w:rsid w:val="00840830"/>
    <w:rsid w:val="008409AA"/>
    <w:rsid w:val="00840FB8"/>
    <w:rsid w:val="00842E0C"/>
    <w:rsid w:val="00843647"/>
    <w:rsid w:val="00843818"/>
    <w:rsid w:val="00843A7A"/>
    <w:rsid w:val="008440C0"/>
    <w:rsid w:val="008447F5"/>
    <w:rsid w:val="00845936"/>
    <w:rsid w:val="00845D25"/>
    <w:rsid w:val="00846183"/>
    <w:rsid w:val="00846292"/>
    <w:rsid w:val="00847477"/>
    <w:rsid w:val="00850662"/>
    <w:rsid w:val="008506E1"/>
    <w:rsid w:val="00850D96"/>
    <w:rsid w:val="008515EE"/>
    <w:rsid w:val="008519FE"/>
    <w:rsid w:val="00851A8E"/>
    <w:rsid w:val="00851EC7"/>
    <w:rsid w:val="008520C4"/>
    <w:rsid w:val="008528D3"/>
    <w:rsid w:val="00854553"/>
    <w:rsid w:val="008550C0"/>
    <w:rsid w:val="008558D9"/>
    <w:rsid w:val="00855B86"/>
    <w:rsid w:val="00856D47"/>
    <w:rsid w:val="00856E15"/>
    <w:rsid w:val="008572EC"/>
    <w:rsid w:val="008575D4"/>
    <w:rsid w:val="0085763B"/>
    <w:rsid w:val="00857688"/>
    <w:rsid w:val="00857768"/>
    <w:rsid w:val="0085788E"/>
    <w:rsid w:val="00860745"/>
    <w:rsid w:val="00860874"/>
    <w:rsid w:val="008609A3"/>
    <w:rsid w:val="008610B8"/>
    <w:rsid w:val="00861F12"/>
    <w:rsid w:val="00862008"/>
    <w:rsid w:val="008621A1"/>
    <w:rsid w:val="008625A2"/>
    <w:rsid w:val="00862720"/>
    <w:rsid w:val="008628C8"/>
    <w:rsid w:val="00862ADA"/>
    <w:rsid w:val="00862B2A"/>
    <w:rsid w:val="008630B9"/>
    <w:rsid w:val="008631B3"/>
    <w:rsid w:val="00863B8F"/>
    <w:rsid w:val="00863F37"/>
    <w:rsid w:val="0086406B"/>
    <w:rsid w:val="008646C1"/>
    <w:rsid w:val="008649B5"/>
    <w:rsid w:val="00864C8C"/>
    <w:rsid w:val="008659FB"/>
    <w:rsid w:val="00865C81"/>
    <w:rsid w:val="0086709D"/>
    <w:rsid w:val="00867651"/>
    <w:rsid w:val="00867664"/>
    <w:rsid w:val="00867B5A"/>
    <w:rsid w:val="00870147"/>
    <w:rsid w:val="008719E1"/>
    <w:rsid w:val="00872089"/>
    <w:rsid w:val="00872959"/>
    <w:rsid w:val="00872C00"/>
    <w:rsid w:val="00874009"/>
    <w:rsid w:val="00874158"/>
    <w:rsid w:val="008743F3"/>
    <w:rsid w:val="00874418"/>
    <w:rsid w:val="0087444A"/>
    <w:rsid w:val="008746F1"/>
    <w:rsid w:val="0087478C"/>
    <w:rsid w:val="0087488F"/>
    <w:rsid w:val="00875139"/>
    <w:rsid w:val="00875410"/>
    <w:rsid w:val="00875F96"/>
    <w:rsid w:val="00876053"/>
    <w:rsid w:val="00876545"/>
    <w:rsid w:val="00876E78"/>
    <w:rsid w:val="00877711"/>
    <w:rsid w:val="00880BBB"/>
    <w:rsid w:val="00880EDF"/>
    <w:rsid w:val="008811FD"/>
    <w:rsid w:val="0088137C"/>
    <w:rsid w:val="008819B6"/>
    <w:rsid w:val="0088208D"/>
    <w:rsid w:val="0088212C"/>
    <w:rsid w:val="00882DE6"/>
    <w:rsid w:val="00883366"/>
    <w:rsid w:val="00883A20"/>
    <w:rsid w:val="00883D4D"/>
    <w:rsid w:val="00884007"/>
    <w:rsid w:val="0088460C"/>
    <w:rsid w:val="008847DA"/>
    <w:rsid w:val="00884B59"/>
    <w:rsid w:val="008850BA"/>
    <w:rsid w:val="008852EF"/>
    <w:rsid w:val="00885580"/>
    <w:rsid w:val="00885876"/>
    <w:rsid w:val="00885D97"/>
    <w:rsid w:val="00886185"/>
    <w:rsid w:val="008861D9"/>
    <w:rsid w:val="0088638C"/>
    <w:rsid w:val="0088684D"/>
    <w:rsid w:val="00886EDF"/>
    <w:rsid w:val="00887AA7"/>
    <w:rsid w:val="00887B44"/>
    <w:rsid w:val="008908E5"/>
    <w:rsid w:val="00891216"/>
    <w:rsid w:val="00891CE4"/>
    <w:rsid w:val="00892A60"/>
    <w:rsid w:val="00894406"/>
    <w:rsid w:val="00894B58"/>
    <w:rsid w:val="00894FDC"/>
    <w:rsid w:val="008957D3"/>
    <w:rsid w:val="00896414"/>
    <w:rsid w:val="0089716F"/>
    <w:rsid w:val="00897C71"/>
    <w:rsid w:val="00897D8C"/>
    <w:rsid w:val="008A05D6"/>
    <w:rsid w:val="008A05EA"/>
    <w:rsid w:val="008A0F54"/>
    <w:rsid w:val="008A16F9"/>
    <w:rsid w:val="008A189B"/>
    <w:rsid w:val="008A1D3E"/>
    <w:rsid w:val="008A3038"/>
    <w:rsid w:val="008A3967"/>
    <w:rsid w:val="008A4A10"/>
    <w:rsid w:val="008A4B16"/>
    <w:rsid w:val="008A4D63"/>
    <w:rsid w:val="008A4E11"/>
    <w:rsid w:val="008A65B2"/>
    <w:rsid w:val="008A6D62"/>
    <w:rsid w:val="008A70F7"/>
    <w:rsid w:val="008A726F"/>
    <w:rsid w:val="008A7606"/>
    <w:rsid w:val="008B13E9"/>
    <w:rsid w:val="008B2257"/>
    <w:rsid w:val="008B2436"/>
    <w:rsid w:val="008B26D5"/>
    <w:rsid w:val="008B3B51"/>
    <w:rsid w:val="008B4057"/>
    <w:rsid w:val="008B4145"/>
    <w:rsid w:val="008B4F0A"/>
    <w:rsid w:val="008B5071"/>
    <w:rsid w:val="008B5290"/>
    <w:rsid w:val="008B63B3"/>
    <w:rsid w:val="008B6A40"/>
    <w:rsid w:val="008B72EC"/>
    <w:rsid w:val="008B73FA"/>
    <w:rsid w:val="008C0B4F"/>
    <w:rsid w:val="008C16CC"/>
    <w:rsid w:val="008C2BD3"/>
    <w:rsid w:val="008C2CFD"/>
    <w:rsid w:val="008C2FAA"/>
    <w:rsid w:val="008C336C"/>
    <w:rsid w:val="008C3A93"/>
    <w:rsid w:val="008C3FDC"/>
    <w:rsid w:val="008C47AD"/>
    <w:rsid w:val="008C5376"/>
    <w:rsid w:val="008C5725"/>
    <w:rsid w:val="008C603A"/>
    <w:rsid w:val="008C62DB"/>
    <w:rsid w:val="008C64D2"/>
    <w:rsid w:val="008C64EF"/>
    <w:rsid w:val="008C6C4B"/>
    <w:rsid w:val="008C71C8"/>
    <w:rsid w:val="008D0681"/>
    <w:rsid w:val="008D0A5A"/>
    <w:rsid w:val="008D148E"/>
    <w:rsid w:val="008D167D"/>
    <w:rsid w:val="008D1FF8"/>
    <w:rsid w:val="008D2B26"/>
    <w:rsid w:val="008D2BF9"/>
    <w:rsid w:val="008D2E88"/>
    <w:rsid w:val="008D3116"/>
    <w:rsid w:val="008D4476"/>
    <w:rsid w:val="008D492A"/>
    <w:rsid w:val="008D4B58"/>
    <w:rsid w:val="008D4B7F"/>
    <w:rsid w:val="008D4B8A"/>
    <w:rsid w:val="008D4DD2"/>
    <w:rsid w:val="008D559D"/>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E57"/>
    <w:rsid w:val="008E42CE"/>
    <w:rsid w:val="008E42F4"/>
    <w:rsid w:val="008E4333"/>
    <w:rsid w:val="008E4A31"/>
    <w:rsid w:val="008E5657"/>
    <w:rsid w:val="008E5E51"/>
    <w:rsid w:val="008E6302"/>
    <w:rsid w:val="008E7E3B"/>
    <w:rsid w:val="008F00DB"/>
    <w:rsid w:val="008F00F1"/>
    <w:rsid w:val="008F03A0"/>
    <w:rsid w:val="008F0C49"/>
    <w:rsid w:val="008F1264"/>
    <w:rsid w:val="008F13F6"/>
    <w:rsid w:val="008F18AA"/>
    <w:rsid w:val="008F1D8C"/>
    <w:rsid w:val="008F2908"/>
    <w:rsid w:val="008F3A90"/>
    <w:rsid w:val="008F4679"/>
    <w:rsid w:val="008F47C6"/>
    <w:rsid w:val="008F5C40"/>
    <w:rsid w:val="008F6647"/>
    <w:rsid w:val="008F700E"/>
    <w:rsid w:val="008F72D1"/>
    <w:rsid w:val="008F7D69"/>
    <w:rsid w:val="00900343"/>
    <w:rsid w:val="009006A2"/>
    <w:rsid w:val="0090102B"/>
    <w:rsid w:val="00901448"/>
    <w:rsid w:val="00902C43"/>
    <w:rsid w:val="009034F6"/>
    <w:rsid w:val="009036BC"/>
    <w:rsid w:val="00903D30"/>
    <w:rsid w:val="00903D77"/>
    <w:rsid w:val="00904414"/>
    <w:rsid w:val="00905197"/>
    <w:rsid w:val="009052A7"/>
    <w:rsid w:val="00905C47"/>
    <w:rsid w:val="00905CE1"/>
    <w:rsid w:val="00905F10"/>
    <w:rsid w:val="00906379"/>
    <w:rsid w:val="009068AB"/>
    <w:rsid w:val="00906A8C"/>
    <w:rsid w:val="00907531"/>
    <w:rsid w:val="009101EA"/>
    <w:rsid w:val="009103B3"/>
    <w:rsid w:val="009106FC"/>
    <w:rsid w:val="009108E5"/>
    <w:rsid w:val="00910B8B"/>
    <w:rsid w:val="00910BE4"/>
    <w:rsid w:val="00910E3D"/>
    <w:rsid w:val="009118BB"/>
    <w:rsid w:val="0091191F"/>
    <w:rsid w:val="00911AF3"/>
    <w:rsid w:val="00911E7D"/>
    <w:rsid w:val="009120A9"/>
    <w:rsid w:val="0091300C"/>
    <w:rsid w:val="009132C6"/>
    <w:rsid w:val="009134C3"/>
    <w:rsid w:val="009134DE"/>
    <w:rsid w:val="009147EE"/>
    <w:rsid w:val="00914A69"/>
    <w:rsid w:val="00915578"/>
    <w:rsid w:val="009159AC"/>
    <w:rsid w:val="00915B81"/>
    <w:rsid w:val="00915C72"/>
    <w:rsid w:val="00915D6B"/>
    <w:rsid w:val="00915F34"/>
    <w:rsid w:val="009160DF"/>
    <w:rsid w:val="009162C7"/>
    <w:rsid w:val="00916EC2"/>
    <w:rsid w:val="009206DD"/>
    <w:rsid w:val="00920E3C"/>
    <w:rsid w:val="009213BD"/>
    <w:rsid w:val="00921880"/>
    <w:rsid w:val="00922042"/>
    <w:rsid w:val="00922148"/>
    <w:rsid w:val="00922EBD"/>
    <w:rsid w:val="009230A6"/>
    <w:rsid w:val="00924393"/>
    <w:rsid w:val="00924627"/>
    <w:rsid w:val="009250A8"/>
    <w:rsid w:val="009250C8"/>
    <w:rsid w:val="00925BE6"/>
    <w:rsid w:val="009264CF"/>
    <w:rsid w:val="00926697"/>
    <w:rsid w:val="009266D7"/>
    <w:rsid w:val="00926F61"/>
    <w:rsid w:val="00926FA9"/>
    <w:rsid w:val="009275D1"/>
    <w:rsid w:val="00927F67"/>
    <w:rsid w:val="009306C6"/>
    <w:rsid w:val="00930D91"/>
    <w:rsid w:val="0093123D"/>
    <w:rsid w:val="00933040"/>
    <w:rsid w:val="009330E9"/>
    <w:rsid w:val="009333E1"/>
    <w:rsid w:val="00933CB8"/>
    <w:rsid w:val="00934D97"/>
    <w:rsid w:val="00935715"/>
    <w:rsid w:val="00935D15"/>
    <w:rsid w:val="00935ED5"/>
    <w:rsid w:val="00936084"/>
    <w:rsid w:val="00936C11"/>
    <w:rsid w:val="009411FB"/>
    <w:rsid w:val="009414A9"/>
    <w:rsid w:val="00941B71"/>
    <w:rsid w:val="00941DF9"/>
    <w:rsid w:val="009421AD"/>
    <w:rsid w:val="0094221C"/>
    <w:rsid w:val="009430F9"/>
    <w:rsid w:val="0094409C"/>
    <w:rsid w:val="00944159"/>
    <w:rsid w:val="00944223"/>
    <w:rsid w:val="0094475E"/>
    <w:rsid w:val="00944777"/>
    <w:rsid w:val="009448CD"/>
    <w:rsid w:val="009449B2"/>
    <w:rsid w:val="00944A5C"/>
    <w:rsid w:val="00944A82"/>
    <w:rsid w:val="00944BA5"/>
    <w:rsid w:val="00945091"/>
    <w:rsid w:val="00945AC7"/>
    <w:rsid w:val="0094651B"/>
    <w:rsid w:val="00946C4D"/>
    <w:rsid w:val="00947200"/>
    <w:rsid w:val="00947E28"/>
    <w:rsid w:val="0095019A"/>
    <w:rsid w:val="00951434"/>
    <w:rsid w:val="009514B7"/>
    <w:rsid w:val="00952422"/>
    <w:rsid w:val="0095285B"/>
    <w:rsid w:val="00953FE9"/>
    <w:rsid w:val="00954417"/>
    <w:rsid w:val="0095481C"/>
    <w:rsid w:val="0095526F"/>
    <w:rsid w:val="009552E8"/>
    <w:rsid w:val="009554E7"/>
    <w:rsid w:val="00955E4A"/>
    <w:rsid w:val="00955E70"/>
    <w:rsid w:val="009565E8"/>
    <w:rsid w:val="0095660A"/>
    <w:rsid w:val="009567E6"/>
    <w:rsid w:val="00957076"/>
    <w:rsid w:val="00957132"/>
    <w:rsid w:val="009571F8"/>
    <w:rsid w:val="009576FD"/>
    <w:rsid w:val="009578EB"/>
    <w:rsid w:val="009578FF"/>
    <w:rsid w:val="00957ADA"/>
    <w:rsid w:val="00960443"/>
    <w:rsid w:val="00960446"/>
    <w:rsid w:val="009610ED"/>
    <w:rsid w:val="00961144"/>
    <w:rsid w:val="00961678"/>
    <w:rsid w:val="00961EE9"/>
    <w:rsid w:val="00961FBF"/>
    <w:rsid w:val="009633BB"/>
    <w:rsid w:val="00963891"/>
    <w:rsid w:val="00963A36"/>
    <w:rsid w:val="00963D72"/>
    <w:rsid w:val="00964019"/>
    <w:rsid w:val="009643DA"/>
    <w:rsid w:val="0096485F"/>
    <w:rsid w:val="00965C40"/>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DDF"/>
    <w:rsid w:val="0097225C"/>
    <w:rsid w:val="009731D6"/>
    <w:rsid w:val="009732DA"/>
    <w:rsid w:val="00973CB0"/>
    <w:rsid w:val="00973FC6"/>
    <w:rsid w:val="00974746"/>
    <w:rsid w:val="00974E62"/>
    <w:rsid w:val="00974F00"/>
    <w:rsid w:val="00975119"/>
    <w:rsid w:val="00975AD9"/>
    <w:rsid w:val="00975BF5"/>
    <w:rsid w:val="009763ED"/>
    <w:rsid w:val="00976788"/>
    <w:rsid w:val="00976AAA"/>
    <w:rsid w:val="00976F04"/>
    <w:rsid w:val="009777E5"/>
    <w:rsid w:val="009777F4"/>
    <w:rsid w:val="00977AD8"/>
    <w:rsid w:val="00980775"/>
    <w:rsid w:val="0098084C"/>
    <w:rsid w:val="00980A10"/>
    <w:rsid w:val="00981130"/>
    <w:rsid w:val="0098229C"/>
    <w:rsid w:val="009822BD"/>
    <w:rsid w:val="0098289D"/>
    <w:rsid w:val="009835E0"/>
    <w:rsid w:val="00983D08"/>
    <w:rsid w:val="00983D46"/>
    <w:rsid w:val="00983DCA"/>
    <w:rsid w:val="009844B8"/>
    <w:rsid w:val="00985262"/>
    <w:rsid w:val="00985EF7"/>
    <w:rsid w:val="00986093"/>
    <w:rsid w:val="00986146"/>
    <w:rsid w:val="00986A47"/>
    <w:rsid w:val="00986CF9"/>
    <w:rsid w:val="0098711E"/>
    <w:rsid w:val="0098727B"/>
    <w:rsid w:val="00987416"/>
    <w:rsid w:val="00987C4E"/>
    <w:rsid w:val="00990154"/>
    <w:rsid w:val="00990C0E"/>
    <w:rsid w:val="00990D75"/>
    <w:rsid w:val="00991093"/>
    <w:rsid w:val="0099163B"/>
    <w:rsid w:val="0099219C"/>
    <w:rsid w:val="00992343"/>
    <w:rsid w:val="009924A1"/>
    <w:rsid w:val="009929FB"/>
    <w:rsid w:val="0099307C"/>
    <w:rsid w:val="00993750"/>
    <w:rsid w:val="0099381C"/>
    <w:rsid w:val="0099383D"/>
    <w:rsid w:val="009938B1"/>
    <w:rsid w:val="00994B48"/>
    <w:rsid w:val="00995884"/>
    <w:rsid w:val="00996258"/>
    <w:rsid w:val="00996306"/>
    <w:rsid w:val="00996744"/>
    <w:rsid w:val="00996A9F"/>
    <w:rsid w:val="00996E72"/>
    <w:rsid w:val="00997013"/>
    <w:rsid w:val="00997CF4"/>
    <w:rsid w:val="009A1169"/>
    <w:rsid w:val="009A164C"/>
    <w:rsid w:val="009A1AAC"/>
    <w:rsid w:val="009A21C7"/>
    <w:rsid w:val="009A22A9"/>
    <w:rsid w:val="009A2BB6"/>
    <w:rsid w:val="009A2CB8"/>
    <w:rsid w:val="009A3125"/>
    <w:rsid w:val="009A3789"/>
    <w:rsid w:val="009A3D54"/>
    <w:rsid w:val="009A4419"/>
    <w:rsid w:val="009A45A2"/>
    <w:rsid w:val="009A56D4"/>
    <w:rsid w:val="009A5D01"/>
    <w:rsid w:val="009A6919"/>
    <w:rsid w:val="009A6AC7"/>
    <w:rsid w:val="009A6D1D"/>
    <w:rsid w:val="009B0173"/>
    <w:rsid w:val="009B0408"/>
    <w:rsid w:val="009B0491"/>
    <w:rsid w:val="009B0843"/>
    <w:rsid w:val="009B0DEE"/>
    <w:rsid w:val="009B1335"/>
    <w:rsid w:val="009B176D"/>
    <w:rsid w:val="009B1E47"/>
    <w:rsid w:val="009B2CED"/>
    <w:rsid w:val="009B3054"/>
    <w:rsid w:val="009B335D"/>
    <w:rsid w:val="009B3801"/>
    <w:rsid w:val="009B3C90"/>
    <w:rsid w:val="009B4874"/>
    <w:rsid w:val="009B4EAC"/>
    <w:rsid w:val="009B55F1"/>
    <w:rsid w:val="009B68F1"/>
    <w:rsid w:val="009B76E3"/>
    <w:rsid w:val="009B76F9"/>
    <w:rsid w:val="009B79BD"/>
    <w:rsid w:val="009B7A72"/>
    <w:rsid w:val="009B7BB8"/>
    <w:rsid w:val="009B7D38"/>
    <w:rsid w:val="009C0E9B"/>
    <w:rsid w:val="009C0FDB"/>
    <w:rsid w:val="009C126A"/>
    <w:rsid w:val="009C1D4C"/>
    <w:rsid w:val="009C2C4B"/>
    <w:rsid w:val="009C2DD2"/>
    <w:rsid w:val="009C3767"/>
    <w:rsid w:val="009C3982"/>
    <w:rsid w:val="009C441F"/>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74A"/>
    <w:rsid w:val="009D0E9D"/>
    <w:rsid w:val="009D19BC"/>
    <w:rsid w:val="009D19D6"/>
    <w:rsid w:val="009D1CD0"/>
    <w:rsid w:val="009D2348"/>
    <w:rsid w:val="009D23D6"/>
    <w:rsid w:val="009D255C"/>
    <w:rsid w:val="009D2EA8"/>
    <w:rsid w:val="009D2F0C"/>
    <w:rsid w:val="009D3306"/>
    <w:rsid w:val="009D3578"/>
    <w:rsid w:val="009D3A5F"/>
    <w:rsid w:val="009D4392"/>
    <w:rsid w:val="009D45BD"/>
    <w:rsid w:val="009D493C"/>
    <w:rsid w:val="009D4F88"/>
    <w:rsid w:val="009D5193"/>
    <w:rsid w:val="009D5C32"/>
    <w:rsid w:val="009D5C56"/>
    <w:rsid w:val="009D6472"/>
    <w:rsid w:val="009D6AD6"/>
    <w:rsid w:val="009D6BEB"/>
    <w:rsid w:val="009D79F4"/>
    <w:rsid w:val="009D7D19"/>
    <w:rsid w:val="009E126D"/>
    <w:rsid w:val="009E2592"/>
    <w:rsid w:val="009E33D7"/>
    <w:rsid w:val="009E3CD1"/>
    <w:rsid w:val="009E495D"/>
    <w:rsid w:val="009E4D40"/>
    <w:rsid w:val="009E5520"/>
    <w:rsid w:val="009E5AF5"/>
    <w:rsid w:val="009E5D4C"/>
    <w:rsid w:val="009E5EB5"/>
    <w:rsid w:val="009E6221"/>
    <w:rsid w:val="009E698C"/>
    <w:rsid w:val="009E74F0"/>
    <w:rsid w:val="009E7F23"/>
    <w:rsid w:val="009E7FC8"/>
    <w:rsid w:val="009F0768"/>
    <w:rsid w:val="009F0877"/>
    <w:rsid w:val="009F102A"/>
    <w:rsid w:val="009F11C0"/>
    <w:rsid w:val="009F151C"/>
    <w:rsid w:val="009F1910"/>
    <w:rsid w:val="009F26E5"/>
    <w:rsid w:val="009F2A19"/>
    <w:rsid w:val="009F2D7B"/>
    <w:rsid w:val="009F394E"/>
    <w:rsid w:val="009F514E"/>
    <w:rsid w:val="009F536A"/>
    <w:rsid w:val="009F6AD5"/>
    <w:rsid w:val="009F6BCE"/>
    <w:rsid w:val="009F71D3"/>
    <w:rsid w:val="009F7867"/>
    <w:rsid w:val="009F7CB5"/>
    <w:rsid w:val="009F7D66"/>
    <w:rsid w:val="009F7F0B"/>
    <w:rsid w:val="00A00BD2"/>
    <w:rsid w:val="00A00E56"/>
    <w:rsid w:val="00A016DF"/>
    <w:rsid w:val="00A02651"/>
    <w:rsid w:val="00A027F3"/>
    <w:rsid w:val="00A02D50"/>
    <w:rsid w:val="00A03511"/>
    <w:rsid w:val="00A03978"/>
    <w:rsid w:val="00A03AB1"/>
    <w:rsid w:val="00A03EC2"/>
    <w:rsid w:val="00A043B8"/>
    <w:rsid w:val="00A04921"/>
    <w:rsid w:val="00A04D7E"/>
    <w:rsid w:val="00A051D9"/>
    <w:rsid w:val="00A05633"/>
    <w:rsid w:val="00A05DF3"/>
    <w:rsid w:val="00A0617E"/>
    <w:rsid w:val="00A061F2"/>
    <w:rsid w:val="00A0706F"/>
    <w:rsid w:val="00A079A3"/>
    <w:rsid w:val="00A07DFD"/>
    <w:rsid w:val="00A07E08"/>
    <w:rsid w:val="00A07E99"/>
    <w:rsid w:val="00A10A9B"/>
    <w:rsid w:val="00A10CD1"/>
    <w:rsid w:val="00A10D79"/>
    <w:rsid w:val="00A11212"/>
    <w:rsid w:val="00A11535"/>
    <w:rsid w:val="00A11807"/>
    <w:rsid w:val="00A11E56"/>
    <w:rsid w:val="00A11FFC"/>
    <w:rsid w:val="00A1209D"/>
    <w:rsid w:val="00A12798"/>
    <w:rsid w:val="00A1329C"/>
    <w:rsid w:val="00A13A09"/>
    <w:rsid w:val="00A13EEE"/>
    <w:rsid w:val="00A14B87"/>
    <w:rsid w:val="00A153BE"/>
    <w:rsid w:val="00A15DEE"/>
    <w:rsid w:val="00A16462"/>
    <w:rsid w:val="00A167B5"/>
    <w:rsid w:val="00A16932"/>
    <w:rsid w:val="00A16DBE"/>
    <w:rsid w:val="00A179E0"/>
    <w:rsid w:val="00A17C4F"/>
    <w:rsid w:val="00A201CE"/>
    <w:rsid w:val="00A20653"/>
    <w:rsid w:val="00A20A39"/>
    <w:rsid w:val="00A20AC3"/>
    <w:rsid w:val="00A20D26"/>
    <w:rsid w:val="00A21B93"/>
    <w:rsid w:val="00A21D9C"/>
    <w:rsid w:val="00A22059"/>
    <w:rsid w:val="00A2300C"/>
    <w:rsid w:val="00A23220"/>
    <w:rsid w:val="00A238BD"/>
    <w:rsid w:val="00A2391E"/>
    <w:rsid w:val="00A23DCA"/>
    <w:rsid w:val="00A240D8"/>
    <w:rsid w:val="00A242FC"/>
    <w:rsid w:val="00A243E4"/>
    <w:rsid w:val="00A2459D"/>
    <w:rsid w:val="00A24B9B"/>
    <w:rsid w:val="00A24E23"/>
    <w:rsid w:val="00A24FA9"/>
    <w:rsid w:val="00A250D5"/>
    <w:rsid w:val="00A2566C"/>
    <w:rsid w:val="00A25F05"/>
    <w:rsid w:val="00A26491"/>
    <w:rsid w:val="00A2731B"/>
    <w:rsid w:val="00A301CA"/>
    <w:rsid w:val="00A30528"/>
    <w:rsid w:val="00A309B3"/>
    <w:rsid w:val="00A30B2D"/>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E3"/>
    <w:rsid w:val="00A344A5"/>
    <w:rsid w:val="00A346C3"/>
    <w:rsid w:val="00A34D4A"/>
    <w:rsid w:val="00A34E96"/>
    <w:rsid w:val="00A35548"/>
    <w:rsid w:val="00A36155"/>
    <w:rsid w:val="00A3629E"/>
    <w:rsid w:val="00A365AD"/>
    <w:rsid w:val="00A4015F"/>
    <w:rsid w:val="00A4027D"/>
    <w:rsid w:val="00A40FB7"/>
    <w:rsid w:val="00A422FD"/>
    <w:rsid w:val="00A42A85"/>
    <w:rsid w:val="00A42D07"/>
    <w:rsid w:val="00A431FD"/>
    <w:rsid w:val="00A43742"/>
    <w:rsid w:val="00A44B43"/>
    <w:rsid w:val="00A4503E"/>
    <w:rsid w:val="00A450C0"/>
    <w:rsid w:val="00A45468"/>
    <w:rsid w:val="00A45484"/>
    <w:rsid w:val="00A45F16"/>
    <w:rsid w:val="00A4601D"/>
    <w:rsid w:val="00A46CEC"/>
    <w:rsid w:val="00A471A8"/>
    <w:rsid w:val="00A4791B"/>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F99"/>
    <w:rsid w:val="00A555A7"/>
    <w:rsid w:val="00A5570C"/>
    <w:rsid w:val="00A55B0D"/>
    <w:rsid w:val="00A56256"/>
    <w:rsid w:val="00A56725"/>
    <w:rsid w:val="00A5718D"/>
    <w:rsid w:val="00A5765D"/>
    <w:rsid w:val="00A579BD"/>
    <w:rsid w:val="00A607CB"/>
    <w:rsid w:val="00A61306"/>
    <w:rsid w:val="00A61803"/>
    <w:rsid w:val="00A61FA1"/>
    <w:rsid w:val="00A6269E"/>
    <w:rsid w:val="00A6351F"/>
    <w:rsid w:val="00A63809"/>
    <w:rsid w:val="00A63DCA"/>
    <w:rsid w:val="00A63F04"/>
    <w:rsid w:val="00A6411C"/>
    <w:rsid w:val="00A64278"/>
    <w:rsid w:val="00A64434"/>
    <w:rsid w:val="00A64A6E"/>
    <w:rsid w:val="00A6519F"/>
    <w:rsid w:val="00A6563D"/>
    <w:rsid w:val="00A65931"/>
    <w:rsid w:val="00A65A70"/>
    <w:rsid w:val="00A65E0B"/>
    <w:rsid w:val="00A66417"/>
    <w:rsid w:val="00A6665F"/>
    <w:rsid w:val="00A66F00"/>
    <w:rsid w:val="00A66F36"/>
    <w:rsid w:val="00A67610"/>
    <w:rsid w:val="00A676D9"/>
    <w:rsid w:val="00A67EFC"/>
    <w:rsid w:val="00A7031E"/>
    <w:rsid w:val="00A7051B"/>
    <w:rsid w:val="00A707A5"/>
    <w:rsid w:val="00A71140"/>
    <w:rsid w:val="00A7157D"/>
    <w:rsid w:val="00A7205E"/>
    <w:rsid w:val="00A72ACC"/>
    <w:rsid w:val="00A73922"/>
    <w:rsid w:val="00A73D24"/>
    <w:rsid w:val="00A7439F"/>
    <w:rsid w:val="00A74692"/>
    <w:rsid w:val="00A7507C"/>
    <w:rsid w:val="00A75924"/>
    <w:rsid w:val="00A759B8"/>
    <w:rsid w:val="00A75A52"/>
    <w:rsid w:val="00A7618B"/>
    <w:rsid w:val="00A7640B"/>
    <w:rsid w:val="00A76B43"/>
    <w:rsid w:val="00A770FA"/>
    <w:rsid w:val="00A773A8"/>
    <w:rsid w:val="00A7778B"/>
    <w:rsid w:val="00A77A67"/>
    <w:rsid w:val="00A803BC"/>
    <w:rsid w:val="00A80969"/>
    <w:rsid w:val="00A80C7C"/>
    <w:rsid w:val="00A81547"/>
    <w:rsid w:val="00A83DA4"/>
    <w:rsid w:val="00A85798"/>
    <w:rsid w:val="00A85C6A"/>
    <w:rsid w:val="00A8609D"/>
    <w:rsid w:val="00A86304"/>
    <w:rsid w:val="00A86EA7"/>
    <w:rsid w:val="00A87598"/>
    <w:rsid w:val="00A87B04"/>
    <w:rsid w:val="00A911A0"/>
    <w:rsid w:val="00A91244"/>
    <w:rsid w:val="00A91774"/>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BD5"/>
    <w:rsid w:val="00A95C53"/>
    <w:rsid w:val="00A95F21"/>
    <w:rsid w:val="00A95F65"/>
    <w:rsid w:val="00A96097"/>
    <w:rsid w:val="00A96F78"/>
    <w:rsid w:val="00A96FBE"/>
    <w:rsid w:val="00A97274"/>
    <w:rsid w:val="00A979E1"/>
    <w:rsid w:val="00A97F3C"/>
    <w:rsid w:val="00AA04E6"/>
    <w:rsid w:val="00AA0B9E"/>
    <w:rsid w:val="00AA1087"/>
    <w:rsid w:val="00AA161A"/>
    <w:rsid w:val="00AA22E4"/>
    <w:rsid w:val="00AA247C"/>
    <w:rsid w:val="00AA25A9"/>
    <w:rsid w:val="00AA26D9"/>
    <w:rsid w:val="00AA278A"/>
    <w:rsid w:val="00AA2822"/>
    <w:rsid w:val="00AA3183"/>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7867"/>
    <w:rsid w:val="00AA7C6D"/>
    <w:rsid w:val="00AB0347"/>
    <w:rsid w:val="00AB0A32"/>
    <w:rsid w:val="00AB0B90"/>
    <w:rsid w:val="00AB0E56"/>
    <w:rsid w:val="00AB0ED5"/>
    <w:rsid w:val="00AB18AC"/>
    <w:rsid w:val="00AB1BC9"/>
    <w:rsid w:val="00AB1EB7"/>
    <w:rsid w:val="00AB3A15"/>
    <w:rsid w:val="00AB3EF2"/>
    <w:rsid w:val="00AB4DED"/>
    <w:rsid w:val="00AB4ECC"/>
    <w:rsid w:val="00AB4F0F"/>
    <w:rsid w:val="00AB5127"/>
    <w:rsid w:val="00AB53E3"/>
    <w:rsid w:val="00AB60E2"/>
    <w:rsid w:val="00AB6601"/>
    <w:rsid w:val="00AB674E"/>
    <w:rsid w:val="00AB6D79"/>
    <w:rsid w:val="00AB709E"/>
    <w:rsid w:val="00AB7806"/>
    <w:rsid w:val="00AB7843"/>
    <w:rsid w:val="00AC02C1"/>
    <w:rsid w:val="00AC062A"/>
    <w:rsid w:val="00AC081A"/>
    <w:rsid w:val="00AC0AB6"/>
    <w:rsid w:val="00AC0FA4"/>
    <w:rsid w:val="00AC10AD"/>
    <w:rsid w:val="00AC17CD"/>
    <w:rsid w:val="00AC1E55"/>
    <w:rsid w:val="00AC3D05"/>
    <w:rsid w:val="00AC3D06"/>
    <w:rsid w:val="00AC427B"/>
    <w:rsid w:val="00AC429F"/>
    <w:rsid w:val="00AC4402"/>
    <w:rsid w:val="00AC447C"/>
    <w:rsid w:val="00AC4B05"/>
    <w:rsid w:val="00AC60B4"/>
    <w:rsid w:val="00AC610E"/>
    <w:rsid w:val="00AC61A4"/>
    <w:rsid w:val="00AC67B6"/>
    <w:rsid w:val="00AC7905"/>
    <w:rsid w:val="00AC7B2F"/>
    <w:rsid w:val="00AC7D98"/>
    <w:rsid w:val="00AD00C5"/>
    <w:rsid w:val="00AD044D"/>
    <w:rsid w:val="00AD165F"/>
    <w:rsid w:val="00AD24CB"/>
    <w:rsid w:val="00AD2794"/>
    <w:rsid w:val="00AD2DC5"/>
    <w:rsid w:val="00AD30B7"/>
    <w:rsid w:val="00AD31E4"/>
    <w:rsid w:val="00AD3455"/>
    <w:rsid w:val="00AD3CAD"/>
    <w:rsid w:val="00AD432E"/>
    <w:rsid w:val="00AD4E00"/>
    <w:rsid w:val="00AD573F"/>
    <w:rsid w:val="00AD5A99"/>
    <w:rsid w:val="00AD69FF"/>
    <w:rsid w:val="00AD702B"/>
    <w:rsid w:val="00AD7063"/>
    <w:rsid w:val="00AD706D"/>
    <w:rsid w:val="00AD72E6"/>
    <w:rsid w:val="00AD7370"/>
    <w:rsid w:val="00AD7675"/>
    <w:rsid w:val="00AD7C95"/>
    <w:rsid w:val="00AD7FCD"/>
    <w:rsid w:val="00AD86E7"/>
    <w:rsid w:val="00AE0C78"/>
    <w:rsid w:val="00AE2912"/>
    <w:rsid w:val="00AE2AB0"/>
    <w:rsid w:val="00AE2BED"/>
    <w:rsid w:val="00AE3228"/>
    <w:rsid w:val="00AE3DE1"/>
    <w:rsid w:val="00AE3EA0"/>
    <w:rsid w:val="00AE3EE4"/>
    <w:rsid w:val="00AE5439"/>
    <w:rsid w:val="00AE5BB3"/>
    <w:rsid w:val="00AE60E8"/>
    <w:rsid w:val="00AE61B2"/>
    <w:rsid w:val="00AE78D1"/>
    <w:rsid w:val="00AE7EF0"/>
    <w:rsid w:val="00AE7F89"/>
    <w:rsid w:val="00AE7FFC"/>
    <w:rsid w:val="00AF0410"/>
    <w:rsid w:val="00AF06BF"/>
    <w:rsid w:val="00AF0E5F"/>
    <w:rsid w:val="00AF16A6"/>
    <w:rsid w:val="00AF16F2"/>
    <w:rsid w:val="00AF28B9"/>
    <w:rsid w:val="00AF2D54"/>
    <w:rsid w:val="00AF2F3C"/>
    <w:rsid w:val="00AF3458"/>
    <w:rsid w:val="00AF3F7B"/>
    <w:rsid w:val="00AF42B4"/>
    <w:rsid w:val="00AF4B8A"/>
    <w:rsid w:val="00AF4F1B"/>
    <w:rsid w:val="00AF53AD"/>
    <w:rsid w:val="00AF5EC6"/>
    <w:rsid w:val="00AF6874"/>
    <w:rsid w:val="00AF6C38"/>
    <w:rsid w:val="00AF6E8A"/>
    <w:rsid w:val="00AF7213"/>
    <w:rsid w:val="00AF7771"/>
    <w:rsid w:val="00AF79AD"/>
    <w:rsid w:val="00AF7D92"/>
    <w:rsid w:val="00B00334"/>
    <w:rsid w:val="00B0078E"/>
    <w:rsid w:val="00B011CC"/>
    <w:rsid w:val="00B01C87"/>
    <w:rsid w:val="00B03626"/>
    <w:rsid w:val="00B03F09"/>
    <w:rsid w:val="00B04004"/>
    <w:rsid w:val="00B04048"/>
    <w:rsid w:val="00B0411E"/>
    <w:rsid w:val="00B042DA"/>
    <w:rsid w:val="00B04F3D"/>
    <w:rsid w:val="00B05702"/>
    <w:rsid w:val="00B0627C"/>
    <w:rsid w:val="00B06DD9"/>
    <w:rsid w:val="00B07293"/>
    <w:rsid w:val="00B07CD6"/>
    <w:rsid w:val="00B07E52"/>
    <w:rsid w:val="00B10010"/>
    <w:rsid w:val="00B11687"/>
    <w:rsid w:val="00B11775"/>
    <w:rsid w:val="00B12788"/>
    <w:rsid w:val="00B12F75"/>
    <w:rsid w:val="00B13002"/>
    <w:rsid w:val="00B1302D"/>
    <w:rsid w:val="00B14034"/>
    <w:rsid w:val="00B1513F"/>
    <w:rsid w:val="00B15989"/>
    <w:rsid w:val="00B15B89"/>
    <w:rsid w:val="00B169B6"/>
    <w:rsid w:val="00B16CF0"/>
    <w:rsid w:val="00B1746F"/>
    <w:rsid w:val="00B17E8D"/>
    <w:rsid w:val="00B20725"/>
    <w:rsid w:val="00B2087E"/>
    <w:rsid w:val="00B20B11"/>
    <w:rsid w:val="00B20B94"/>
    <w:rsid w:val="00B2110D"/>
    <w:rsid w:val="00B21CE2"/>
    <w:rsid w:val="00B2324B"/>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3000E"/>
    <w:rsid w:val="00B3091E"/>
    <w:rsid w:val="00B326A8"/>
    <w:rsid w:val="00B3291A"/>
    <w:rsid w:val="00B329EB"/>
    <w:rsid w:val="00B32FCD"/>
    <w:rsid w:val="00B33508"/>
    <w:rsid w:val="00B33716"/>
    <w:rsid w:val="00B3377E"/>
    <w:rsid w:val="00B33BEE"/>
    <w:rsid w:val="00B341F4"/>
    <w:rsid w:val="00B34E63"/>
    <w:rsid w:val="00B35497"/>
    <w:rsid w:val="00B35DA4"/>
    <w:rsid w:val="00B366B2"/>
    <w:rsid w:val="00B36F27"/>
    <w:rsid w:val="00B376AD"/>
    <w:rsid w:val="00B37831"/>
    <w:rsid w:val="00B40197"/>
    <w:rsid w:val="00B40A96"/>
    <w:rsid w:val="00B4184B"/>
    <w:rsid w:val="00B41858"/>
    <w:rsid w:val="00B41C1E"/>
    <w:rsid w:val="00B41F92"/>
    <w:rsid w:val="00B422A7"/>
    <w:rsid w:val="00B42376"/>
    <w:rsid w:val="00B42A32"/>
    <w:rsid w:val="00B42DAB"/>
    <w:rsid w:val="00B42FA6"/>
    <w:rsid w:val="00B4399E"/>
    <w:rsid w:val="00B43A16"/>
    <w:rsid w:val="00B43DFE"/>
    <w:rsid w:val="00B45C3C"/>
    <w:rsid w:val="00B45CE1"/>
    <w:rsid w:val="00B4624E"/>
    <w:rsid w:val="00B46920"/>
    <w:rsid w:val="00B46A75"/>
    <w:rsid w:val="00B470A7"/>
    <w:rsid w:val="00B476AF"/>
    <w:rsid w:val="00B500CD"/>
    <w:rsid w:val="00B5030F"/>
    <w:rsid w:val="00B5109D"/>
    <w:rsid w:val="00B5239C"/>
    <w:rsid w:val="00B53259"/>
    <w:rsid w:val="00B53893"/>
    <w:rsid w:val="00B539E3"/>
    <w:rsid w:val="00B53DB2"/>
    <w:rsid w:val="00B543D8"/>
    <w:rsid w:val="00B54512"/>
    <w:rsid w:val="00B548C2"/>
    <w:rsid w:val="00B54B6A"/>
    <w:rsid w:val="00B55428"/>
    <w:rsid w:val="00B556C5"/>
    <w:rsid w:val="00B561C3"/>
    <w:rsid w:val="00B56E51"/>
    <w:rsid w:val="00B570BF"/>
    <w:rsid w:val="00B5789A"/>
    <w:rsid w:val="00B60471"/>
    <w:rsid w:val="00B60B8F"/>
    <w:rsid w:val="00B61138"/>
    <w:rsid w:val="00B625CC"/>
    <w:rsid w:val="00B62A7F"/>
    <w:rsid w:val="00B62D97"/>
    <w:rsid w:val="00B62F90"/>
    <w:rsid w:val="00B63337"/>
    <w:rsid w:val="00B6369F"/>
    <w:rsid w:val="00B639D7"/>
    <w:rsid w:val="00B648A4"/>
    <w:rsid w:val="00B64AA7"/>
    <w:rsid w:val="00B64CC1"/>
    <w:rsid w:val="00B65452"/>
    <w:rsid w:val="00B65CA7"/>
    <w:rsid w:val="00B6622E"/>
    <w:rsid w:val="00B664BF"/>
    <w:rsid w:val="00B66594"/>
    <w:rsid w:val="00B66C7C"/>
    <w:rsid w:val="00B66F21"/>
    <w:rsid w:val="00B672FD"/>
    <w:rsid w:val="00B67805"/>
    <w:rsid w:val="00B70106"/>
    <w:rsid w:val="00B701FE"/>
    <w:rsid w:val="00B70EE9"/>
    <w:rsid w:val="00B70F63"/>
    <w:rsid w:val="00B71BAC"/>
    <w:rsid w:val="00B71CA8"/>
    <w:rsid w:val="00B721CD"/>
    <w:rsid w:val="00B7267A"/>
    <w:rsid w:val="00B726FF"/>
    <w:rsid w:val="00B7284D"/>
    <w:rsid w:val="00B72A5B"/>
    <w:rsid w:val="00B72AA4"/>
    <w:rsid w:val="00B72B16"/>
    <w:rsid w:val="00B73073"/>
    <w:rsid w:val="00B73F2C"/>
    <w:rsid w:val="00B75454"/>
    <w:rsid w:val="00B76BCD"/>
    <w:rsid w:val="00B76EE9"/>
    <w:rsid w:val="00B77231"/>
    <w:rsid w:val="00B77611"/>
    <w:rsid w:val="00B77880"/>
    <w:rsid w:val="00B779C7"/>
    <w:rsid w:val="00B77B84"/>
    <w:rsid w:val="00B77CAB"/>
    <w:rsid w:val="00B80027"/>
    <w:rsid w:val="00B8099D"/>
    <w:rsid w:val="00B80D90"/>
    <w:rsid w:val="00B80F3C"/>
    <w:rsid w:val="00B81DF7"/>
    <w:rsid w:val="00B81FDC"/>
    <w:rsid w:val="00B82613"/>
    <w:rsid w:val="00B828B5"/>
    <w:rsid w:val="00B82ED8"/>
    <w:rsid w:val="00B82F2F"/>
    <w:rsid w:val="00B83E1B"/>
    <w:rsid w:val="00B845D0"/>
    <w:rsid w:val="00B84619"/>
    <w:rsid w:val="00B84A80"/>
    <w:rsid w:val="00B84E9C"/>
    <w:rsid w:val="00B853C4"/>
    <w:rsid w:val="00B85522"/>
    <w:rsid w:val="00B85576"/>
    <w:rsid w:val="00B85B92"/>
    <w:rsid w:val="00B862E0"/>
    <w:rsid w:val="00B877DD"/>
    <w:rsid w:val="00B87CC3"/>
    <w:rsid w:val="00B90E2A"/>
    <w:rsid w:val="00B90F2A"/>
    <w:rsid w:val="00B9198D"/>
    <w:rsid w:val="00B91AEF"/>
    <w:rsid w:val="00B91DB7"/>
    <w:rsid w:val="00B92D25"/>
    <w:rsid w:val="00B93008"/>
    <w:rsid w:val="00B9406D"/>
    <w:rsid w:val="00B944D9"/>
    <w:rsid w:val="00B94BA7"/>
    <w:rsid w:val="00B94E0E"/>
    <w:rsid w:val="00B9515B"/>
    <w:rsid w:val="00B958AE"/>
    <w:rsid w:val="00B95DC2"/>
    <w:rsid w:val="00B96413"/>
    <w:rsid w:val="00B96B80"/>
    <w:rsid w:val="00B97CA3"/>
    <w:rsid w:val="00BA1104"/>
    <w:rsid w:val="00BA167C"/>
    <w:rsid w:val="00BA1872"/>
    <w:rsid w:val="00BA1913"/>
    <w:rsid w:val="00BA27C9"/>
    <w:rsid w:val="00BA2BC9"/>
    <w:rsid w:val="00BA4641"/>
    <w:rsid w:val="00BA4A54"/>
    <w:rsid w:val="00BA4C3A"/>
    <w:rsid w:val="00BA4DF6"/>
    <w:rsid w:val="00BA50E6"/>
    <w:rsid w:val="00BA50EB"/>
    <w:rsid w:val="00BA5429"/>
    <w:rsid w:val="00BA5BDE"/>
    <w:rsid w:val="00BA6283"/>
    <w:rsid w:val="00BA66FB"/>
    <w:rsid w:val="00BA6BAF"/>
    <w:rsid w:val="00BA6CE2"/>
    <w:rsid w:val="00BA6ED1"/>
    <w:rsid w:val="00BA7205"/>
    <w:rsid w:val="00BA76A9"/>
    <w:rsid w:val="00BA79C5"/>
    <w:rsid w:val="00BA7E3F"/>
    <w:rsid w:val="00BA7E48"/>
    <w:rsid w:val="00BB0094"/>
    <w:rsid w:val="00BB0595"/>
    <w:rsid w:val="00BB153F"/>
    <w:rsid w:val="00BB1591"/>
    <w:rsid w:val="00BB1C06"/>
    <w:rsid w:val="00BB20AB"/>
    <w:rsid w:val="00BB213A"/>
    <w:rsid w:val="00BB2F36"/>
    <w:rsid w:val="00BB3097"/>
    <w:rsid w:val="00BB3432"/>
    <w:rsid w:val="00BB38F5"/>
    <w:rsid w:val="00BB3E2B"/>
    <w:rsid w:val="00BB4244"/>
    <w:rsid w:val="00BB492C"/>
    <w:rsid w:val="00BB50F2"/>
    <w:rsid w:val="00BB53DA"/>
    <w:rsid w:val="00BB5D1C"/>
    <w:rsid w:val="00BB6552"/>
    <w:rsid w:val="00BB65E0"/>
    <w:rsid w:val="00BB6826"/>
    <w:rsid w:val="00BB6B9B"/>
    <w:rsid w:val="00BB754F"/>
    <w:rsid w:val="00BC0058"/>
    <w:rsid w:val="00BC07D4"/>
    <w:rsid w:val="00BC0A5D"/>
    <w:rsid w:val="00BC0BE3"/>
    <w:rsid w:val="00BC0EA3"/>
    <w:rsid w:val="00BC10B2"/>
    <w:rsid w:val="00BC1AD9"/>
    <w:rsid w:val="00BC1B7A"/>
    <w:rsid w:val="00BC3257"/>
    <w:rsid w:val="00BC32E7"/>
    <w:rsid w:val="00BC4D35"/>
    <w:rsid w:val="00BC4F81"/>
    <w:rsid w:val="00BC5670"/>
    <w:rsid w:val="00BC58B9"/>
    <w:rsid w:val="00BC5D69"/>
    <w:rsid w:val="00BC60AC"/>
    <w:rsid w:val="00BC6461"/>
    <w:rsid w:val="00BC6858"/>
    <w:rsid w:val="00BC6E00"/>
    <w:rsid w:val="00BC78D4"/>
    <w:rsid w:val="00BD0EBC"/>
    <w:rsid w:val="00BD143F"/>
    <w:rsid w:val="00BD2744"/>
    <w:rsid w:val="00BD2F13"/>
    <w:rsid w:val="00BD3056"/>
    <w:rsid w:val="00BD3846"/>
    <w:rsid w:val="00BD3E68"/>
    <w:rsid w:val="00BD4E05"/>
    <w:rsid w:val="00BD4EEA"/>
    <w:rsid w:val="00BD5200"/>
    <w:rsid w:val="00BD5951"/>
    <w:rsid w:val="00BD598A"/>
    <w:rsid w:val="00BD5C68"/>
    <w:rsid w:val="00BD5C7A"/>
    <w:rsid w:val="00BD723F"/>
    <w:rsid w:val="00BD75B4"/>
    <w:rsid w:val="00BD7D14"/>
    <w:rsid w:val="00BD7DBD"/>
    <w:rsid w:val="00BE02B4"/>
    <w:rsid w:val="00BE06D0"/>
    <w:rsid w:val="00BE08DC"/>
    <w:rsid w:val="00BE0D3C"/>
    <w:rsid w:val="00BE2036"/>
    <w:rsid w:val="00BE28C1"/>
    <w:rsid w:val="00BE2ACB"/>
    <w:rsid w:val="00BE3492"/>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879"/>
    <w:rsid w:val="00BF21AC"/>
    <w:rsid w:val="00BF2E53"/>
    <w:rsid w:val="00BF352A"/>
    <w:rsid w:val="00BF3669"/>
    <w:rsid w:val="00BF3C0D"/>
    <w:rsid w:val="00BF4BC7"/>
    <w:rsid w:val="00BF5038"/>
    <w:rsid w:val="00BF6252"/>
    <w:rsid w:val="00BF6E82"/>
    <w:rsid w:val="00BF711C"/>
    <w:rsid w:val="00BF748E"/>
    <w:rsid w:val="00BF789B"/>
    <w:rsid w:val="00BF7C3C"/>
    <w:rsid w:val="00C004AD"/>
    <w:rsid w:val="00C00B6C"/>
    <w:rsid w:val="00C01901"/>
    <w:rsid w:val="00C0219C"/>
    <w:rsid w:val="00C02542"/>
    <w:rsid w:val="00C03309"/>
    <w:rsid w:val="00C037E0"/>
    <w:rsid w:val="00C0395F"/>
    <w:rsid w:val="00C03E8A"/>
    <w:rsid w:val="00C04112"/>
    <w:rsid w:val="00C04B14"/>
    <w:rsid w:val="00C04E8D"/>
    <w:rsid w:val="00C052E5"/>
    <w:rsid w:val="00C05A3E"/>
    <w:rsid w:val="00C05E5E"/>
    <w:rsid w:val="00C065E2"/>
    <w:rsid w:val="00C072FE"/>
    <w:rsid w:val="00C11659"/>
    <w:rsid w:val="00C11ADE"/>
    <w:rsid w:val="00C11ADF"/>
    <w:rsid w:val="00C126E0"/>
    <w:rsid w:val="00C128BC"/>
    <w:rsid w:val="00C12C2B"/>
    <w:rsid w:val="00C12E39"/>
    <w:rsid w:val="00C13D47"/>
    <w:rsid w:val="00C14164"/>
    <w:rsid w:val="00C14C53"/>
    <w:rsid w:val="00C15D8E"/>
    <w:rsid w:val="00C17012"/>
    <w:rsid w:val="00C1752F"/>
    <w:rsid w:val="00C1788A"/>
    <w:rsid w:val="00C178FB"/>
    <w:rsid w:val="00C17DF9"/>
    <w:rsid w:val="00C17E1C"/>
    <w:rsid w:val="00C201EB"/>
    <w:rsid w:val="00C20ACC"/>
    <w:rsid w:val="00C20BD9"/>
    <w:rsid w:val="00C20FB2"/>
    <w:rsid w:val="00C2236B"/>
    <w:rsid w:val="00C22B28"/>
    <w:rsid w:val="00C22FD2"/>
    <w:rsid w:val="00C24C99"/>
    <w:rsid w:val="00C257B7"/>
    <w:rsid w:val="00C25B5B"/>
    <w:rsid w:val="00C25C92"/>
    <w:rsid w:val="00C26688"/>
    <w:rsid w:val="00C27170"/>
    <w:rsid w:val="00C2720D"/>
    <w:rsid w:val="00C272E8"/>
    <w:rsid w:val="00C2749F"/>
    <w:rsid w:val="00C2768A"/>
    <w:rsid w:val="00C27AC7"/>
    <w:rsid w:val="00C27B98"/>
    <w:rsid w:val="00C30064"/>
    <w:rsid w:val="00C301A9"/>
    <w:rsid w:val="00C307EF"/>
    <w:rsid w:val="00C30ABC"/>
    <w:rsid w:val="00C30B60"/>
    <w:rsid w:val="00C3104C"/>
    <w:rsid w:val="00C31FAA"/>
    <w:rsid w:val="00C33359"/>
    <w:rsid w:val="00C333FD"/>
    <w:rsid w:val="00C33556"/>
    <w:rsid w:val="00C33974"/>
    <w:rsid w:val="00C33C12"/>
    <w:rsid w:val="00C34313"/>
    <w:rsid w:val="00C348D6"/>
    <w:rsid w:val="00C3504C"/>
    <w:rsid w:val="00C351FE"/>
    <w:rsid w:val="00C365E7"/>
    <w:rsid w:val="00C36E34"/>
    <w:rsid w:val="00C37EBD"/>
    <w:rsid w:val="00C40388"/>
    <w:rsid w:val="00C404D7"/>
    <w:rsid w:val="00C404EE"/>
    <w:rsid w:val="00C4171B"/>
    <w:rsid w:val="00C41DEC"/>
    <w:rsid w:val="00C42689"/>
    <w:rsid w:val="00C42988"/>
    <w:rsid w:val="00C42AD8"/>
    <w:rsid w:val="00C42B71"/>
    <w:rsid w:val="00C42BD4"/>
    <w:rsid w:val="00C42C80"/>
    <w:rsid w:val="00C42D84"/>
    <w:rsid w:val="00C4372B"/>
    <w:rsid w:val="00C43770"/>
    <w:rsid w:val="00C43FF0"/>
    <w:rsid w:val="00C44124"/>
    <w:rsid w:val="00C44641"/>
    <w:rsid w:val="00C455B8"/>
    <w:rsid w:val="00C457EB"/>
    <w:rsid w:val="00C45EF5"/>
    <w:rsid w:val="00C46B7E"/>
    <w:rsid w:val="00C474D6"/>
    <w:rsid w:val="00C47538"/>
    <w:rsid w:val="00C47C24"/>
    <w:rsid w:val="00C50046"/>
    <w:rsid w:val="00C5099B"/>
    <w:rsid w:val="00C50A4E"/>
    <w:rsid w:val="00C5195A"/>
    <w:rsid w:val="00C51C37"/>
    <w:rsid w:val="00C520B1"/>
    <w:rsid w:val="00C522D6"/>
    <w:rsid w:val="00C52C52"/>
    <w:rsid w:val="00C539E8"/>
    <w:rsid w:val="00C54020"/>
    <w:rsid w:val="00C5406F"/>
    <w:rsid w:val="00C545C5"/>
    <w:rsid w:val="00C54817"/>
    <w:rsid w:val="00C54F35"/>
    <w:rsid w:val="00C54FED"/>
    <w:rsid w:val="00C552D4"/>
    <w:rsid w:val="00C552F4"/>
    <w:rsid w:val="00C55311"/>
    <w:rsid w:val="00C55566"/>
    <w:rsid w:val="00C55EB9"/>
    <w:rsid w:val="00C566FD"/>
    <w:rsid w:val="00C56C73"/>
    <w:rsid w:val="00C5780B"/>
    <w:rsid w:val="00C57A01"/>
    <w:rsid w:val="00C57A2D"/>
    <w:rsid w:val="00C57D00"/>
    <w:rsid w:val="00C57E3C"/>
    <w:rsid w:val="00C60B07"/>
    <w:rsid w:val="00C6117A"/>
    <w:rsid w:val="00C61D4B"/>
    <w:rsid w:val="00C6298E"/>
    <w:rsid w:val="00C62B0A"/>
    <w:rsid w:val="00C63980"/>
    <w:rsid w:val="00C63B79"/>
    <w:rsid w:val="00C63C52"/>
    <w:rsid w:val="00C63C95"/>
    <w:rsid w:val="00C63F08"/>
    <w:rsid w:val="00C64825"/>
    <w:rsid w:val="00C6519C"/>
    <w:rsid w:val="00C6528C"/>
    <w:rsid w:val="00C66001"/>
    <w:rsid w:val="00C661E8"/>
    <w:rsid w:val="00C669C6"/>
    <w:rsid w:val="00C66D05"/>
    <w:rsid w:val="00C67E40"/>
    <w:rsid w:val="00C70038"/>
    <w:rsid w:val="00C70084"/>
    <w:rsid w:val="00C70847"/>
    <w:rsid w:val="00C7090B"/>
    <w:rsid w:val="00C71C2B"/>
    <w:rsid w:val="00C71EB7"/>
    <w:rsid w:val="00C7235B"/>
    <w:rsid w:val="00C72854"/>
    <w:rsid w:val="00C72E18"/>
    <w:rsid w:val="00C72F96"/>
    <w:rsid w:val="00C731AD"/>
    <w:rsid w:val="00C73417"/>
    <w:rsid w:val="00C7380B"/>
    <w:rsid w:val="00C73C02"/>
    <w:rsid w:val="00C74317"/>
    <w:rsid w:val="00C74421"/>
    <w:rsid w:val="00C75192"/>
    <w:rsid w:val="00C75F2F"/>
    <w:rsid w:val="00C75FEE"/>
    <w:rsid w:val="00C76F1D"/>
    <w:rsid w:val="00C77937"/>
    <w:rsid w:val="00C77CA4"/>
    <w:rsid w:val="00C77D26"/>
    <w:rsid w:val="00C80029"/>
    <w:rsid w:val="00C80BDF"/>
    <w:rsid w:val="00C815DF"/>
    <w:rsid w:val="00C81819"/>
    <w:rsid w:val="00C81DE3"/>
    <w:rsid w:val="00C820D2"/>
    <w:rsid w:val="00C825A0"/>
    <w:rsid w:val="00C827F9"/>
    <w:rsid w:val="00C82E22"/>
    <w:rsid w:val="00C82FEE"/>
    <w:rsid w:val="00C848E3"/>
    <w:rsid w:val="00C84D39"/>
    <w:rsid w:val="00C85277"/>
    <w:rsid w:val="00C85806"/>
    <w:rsid w:val="00C85CFA"/>
    <w:rsid w:val="00C85D76"/>
    <w:rsid w:val="00C873AC"/>
    <w:rsid w:val="00C8779C"/>
    <w:rsid w:val="00C87DA6"/>
    <w:rsid w:val="00C87F51"/>
    <w:rsid w:val="00C90203"/>
    <w:rsid w:val="00C9055D"/>
    <w:rsid w:val="00C91857"/>
    <w:rsid w:val="00C9213B"/>
    <w:rsid w:val="00C921CD"/>
    <w:rsid w:val="00C92B69"/>
    <w:rsid w:val="00C93462"/>
    <w:rsid w:val="00C936F3"/>
    <w:rsid w:val="00C93C1F"/>
    <w:rsid w:val="00C94384"/>
    <w:rsid w:val="00C94A34"/>
    <w:rsid w:val="00C94C2B"/>
    <w:rsid w:val="00C94F73"/>
    <w:rsid w:val="00C95609"/>
    <w:rsid w:val="00C96F79"/>
    <w:rsid w:val="00C97CF9"/>
    <w:rsid w:val="00CA004C"/>
    <w:rsid w:val="00CA17DD"/>
    <w:rsid w:val="00CA1863"/>
    <w:rsid w:val="00CA1941"/>
    <w:rsid w:val="00CA23D5"/>
    <w:rsid w:val="00CA26CE"/>
    <w:rsid w:val="00CA33FD"/>
    <w:rsid w:val="00CA391D"/>
    <w:rsid w:val="00CA3ACD"/>
    <w:rsid w:val="00CA457E"/>
    <w:rsid w:val="00CA48E3"/>
    <w:rsid w:val="00CA4B6A"/>
    <w:rsid w:val="00CA4D5D"/>
    <w:rsid w:val="00CA4F8B"/>
    <w:rsid w:val="00CA5235"/>
    <w:rsid w:val="00CA5445"/>
    <w:rsid w:val="00CA5761"/>
    <w:rsid w:val="00CA68B3"/>
    <w:rsid w:val="00CA7488"/>
    <w:rsid w:val="00CA7B03"/>
    <w:rsid w:val="00CB0007"/>
    <w:rsid w:val="00CB00A6"/>
    <w:rsid w:val="00CB09DA"/>
    <w:rsid w:val="00CB0BD9"/>
    <w:rsid w:val="00CB1877"/>
    <w:rsid w:val="00CB1BAE"/>
    <w:rsid w:val="00CB1CAC"/>
    <w:rsid w:val="00CB1DE8"/>
    <w:rsid w:val="00CB1E3B"/>
    <w:rsid w:val="00CB1F1D"/>
    <w:rsid w:val="00CB2A71"/>
    <w:rsid w:val="00CB2BE9"/>
    <w:rsid w:val="00CB36E7"/>
    <w:rsid w:val="00CB608F"/>
    <w:rsid w:val="00CB6795"/>
    <w:rsid w:val="00CB71F8"/>
    <w:rsid w:val="00CB7284"/>
    <w:rsid w:val="00CC180A"/>
    <w:rsid w:val="00CC26DB"/>
    <w:rsid w:val="00CC275C"/>
    <w:rsid w:val="00CC300C"/>
    <w:rsid w:val="00CC32B2"/>
    <w:rsid w:val="00CC35AE"/>
    <w:rsid w:val="00CC3DAA"/>
    <w:rsid w:val="00CC4C2C"/>
    <w:rsid w:val="00CC5057"/>
    <w:rsid w:val="00CC5589"/>
    <w:rsid w:val="00CC5B11"/>
    <w:rsid w:val="00CC6080"/>
    <w:rsid w:val="00CC640F"/>
    <w:rsid w:val="00CC6A5E"/>
    <w:rsid w:val="00CC7843"/>
    <w:rsid w:val="00CC7E1A"/>
    <w:rsid w:val="00CD078F"/>
    <w:rsid w:val="00CD121E"/>
    <w:rsid w:val="00CD12C5"/>
    <w:rsid w:val="00CD166C"/>
    <w:rsid w:val="00CD185D"/>
    <w:rsid w:val="00CD28F0"/>
    <w:rsid w:val="00CD3598"/>
    <w:rsid w:val="00CD3C39"/>
    <w:rsid w:val="00CD3ED8"/>
    <w:rsid w:val="00CD3FBF"/>
    <w:rsid w:val="00CD497A"/>
    <w:rsid w:val="00CD60B1"/>
    <w:rsid w:val="00CD71AF"/>
    <w:rsid w:val="00CD720C"/>
    <w:rsid w:val="00CD75E5"/>
    <w:rsid w:val="00CD761D"/>
    <w:rsid w:val="00CD76B5"/>
    <w:rsid w:val="00CD7785"/>
    <w:rsid w:val="00CD78B9"/>
    <w:rsid w:val="00CE1D01"/>
    <w:rsid w:val="00CE1E1E"/>
    <w:rsid w:val="00CE2323"/>
    <w:rsid w:val="00CE2346"/>
    <w:rsid w:val="00CE2368"/>
    <w:rsid w:val="00CE2CDA"/>
    <w:rsid w:val="00CE3A59"/>
    <w:rsid w:val="00CE4323"/>
    <w:rsid w:val="00CE61AE"/>
    <w:rsid w:val="00CE6F0F"/>
    <w:rsid w:val="00CE7115"/>
    <w:rsid w:val="00CF002F"/>
    <w:rsid w:val="00CF0246"/>
    <w:rsid w:val="00CF14D2"/>
    <w:rsid w:val="00CF1875"/>
    <w:rsid w:val="00CF1924"/>
    <w:rsid w:val="00CF1D08"/>
    <w:rsid w:val="00CF2483"/>
    <w:rsid w:val="00CF24E2"/>
    <w:rsid w:val="00CF2F8E"/>
    <w:rsid w:val="00CF393D"/>
    <w:rsid w:val="00CF394E"/>
    <w:rsid w:val="00CF4ABD"/>
    <w:rsid w:val="00CF4CF2"/>
    <w:rsid w:val="00CF5A53"/>
    <w:rsid w:val="00CF5D28"/>
    <w:rsid w:val="00CF6266"/>
    <w:rsid w:val="00CF66A2"/>
    <w:rsid w:val="00CF68B8"/>
    <w:rsid w:val="00CF6EAD"/>
    <w:rsid w:val="00CF6F1E"/>
    <w:rsid w:val="00CF6FF8"/>
    <w:rsid w:val="00CF7354"/>
    <w:rsid w:val="00CF7E96"/>
    <w:rsid w:val="00D001F9"/>
    <w:rsid w:val="00D0036E"/>
    <w:rsid w:val="00D00BB7"/>
    <w:rsid w:val="00D00CE5"/>
    <w:rsid w:val="00D01EAD"/>
    <w:rsid w:val="00D0344F"/>
    <w:rsid w:val="00D035B9"/>
    <w:rsid w:val="00D040B7"/>
    <w:rsid w:val="00D047A8"/>
    <w:rsid w:val="00D04E76"/>
    <w:rsid w:val="00D060FF"/>
    <w:rsid w:val="00D064E8"/>
    <w:rsid w:val="00D06546"/>
    <w:rsid w:val="00D06572"/>
    <w:rsid w:val="00D065CD"/>
    <w:rsid w:val="00D06811"/>
    <w:rsid w:val="00D06D84"/>
    <w:rsid w:val="00D0724B"/>
    <w:rsid w:val="00D07A60"/>
    <w:rsid w:val="00D10818"/>
    <w:rsid w:val="00D12325"/>
    <w:rsid w:val="00D1252B"/>
    <w:rsid w:val="00D12761"/>
    <w:rsid w:val="00D13281"/>
    <w:rsid w:val="00D13299"/>
    <w:rsid w:val="00D13D2D"/>
    <w:rsid w:val="00D14487"/>
    <w:rsid w:val="00D14844"/>
    <w:rsid w:val="00D15D47"/>
    <w:rsid w:val="00D15E7E"/>
    <w:rsid w:val="00D16058"/>
    <w:rsid w:val="00D16862"/>
    <w:rsid w:val="00D16FDD"/>
    <w:rsid w:val="00D17601"/>
    <w:rsid w:val="00D20016"/>
    <w:rsid w:val="00D207A7"/>
    <w:rsid w:val="00D20B19"/>
    <w:rsid w:val="00D20C74"/>
    <w:rsid w:val="00D21753"/>
    <w:rsid w:val="00D22279"/>
    <w:rsid w:val="00D2279F"/>
    <w:rsid w:val="00D22AF1"/>
    <w:rsid w:val="00D22E93"/>
    <w:rsid w:val="00D240A6"/>
    <w:rsid w:val="00D241FE"/>
    <w:rsid w:val="00D242DA"/>
    <w:rsid w:val="00D247EC"/>
    <w:rsid w:val="00D25EF5"/>
    <w:rsid w:val="00D26448"/>
    <w:rsid w:val="00D264CE"/>
    <w:rsid w:val="00D26670"/>
    <w:rsid w:val="00D2670E"/>
    <w:rsid w:val="00D26910"/>
    <w:rsid w:val="00D27794"/>
    <w:rsid w:val="00D27B8B"/>
    <w:rsid w:val="00D27C81"/>
    <w:rsid w:val="00D30A5D"/>
    <w:rsid w:val="00D30CF0"/>
    <w:rsid w:val="00D30E03"/>
    <w:rsid w:val="00D30EBD"/>
    <w:rsid w:val="00D31681"/>
    <w:rsid w:val="00D3191C"/>
    <w:rsid w:val="00D31B6E"/>
    <w:rsid w:val="00D3232B"/>
    <w:rsid w:val="00D3239F"/>
    <w:rsid w:val="00D324A4"/>
    <w:rsid w:val="00D3250C"/>
    <w:rsid w:val="00D32721"/>
    <w:rsid w:val="00D328F6"/>
    <w:rsid w:val="00D32A8C"/>
    <w:rsid w:val="00D32DF3"/>
    <w:rsid w:val="00D33473"/>
    <w:rsid w:val="00D33F8C"/>
    <w:rsid w:val="00D34584"/>
    <w:rsid w:val="00D345D4"/>
    <w:rsid w:val="00D3462C"/>
    <w:rsid w:val="00D34DEB"/>
    <w:rsid w:val="00D35198"/>
    <w:rsid w:val="00D352A5"/>
    <w:rsid w:val="00D3584B"/>
    <w:rsid w:val="00D35A85"/>
    <w:rsid w:val="00D35F97"/>
    <w:rsid w:val="00D361D6"/>
    <w:rsid w:val="00D36964"/>
    <w:rsid w:val="00D36E9D"/>
    <w:rsid w:val="00D37A1A"/>
    <w:rsid w:val="00D37B4A"/>
    <w:rsid w:val="00D37F68"/>
    <w:rsid w:val="00D4081B"/>
    <w:rsid w:val="00D40968"/>
    <w:rsid w:val="00D40E1A"/>
    <w:rsid w:val="00D413C3"/>
    <w:rsid w:val="00D41C28"/>
    <w:rsid w:val="00D42240"/>
    <w:rsid w:val="00D427C3"/>
    <w:rsid w:val="00D42EB8"/>
    <w:rsid w:val="00D43BC5"/>
    <w:rsid w:val="00D43D3C"/>
    <w:rsid w:val="00D43E0B"/>
    <w:rsid w:val="00D440AD"/>
    <w:rsid w:val="00D441E2"/>
    <w:rsid w:val="00D44530"/>
    <w:rsid w:val="00D44932"/>
    <w:rsid w:val="00D44FAF"/>
    <w:rsid w:val="00D458AE"/>
    <w:rsid w:val="00D46111"/>
    <w:rsid w:val="00D46389"/>
    <w:rsid w:val="00D4662F"/>
    <w:rsid w:val="00D46A4D"/>
    <w:rsid w:val="00D46E5F"/>
    <w:rsid w:val="00D46F1B"/>
    <w:rsid w:val="00D47247"/>
    <w:rsid w:val="00D47410"/>
    <w:rsid w:val="00D475FB"/>
    <w:rsid w:val="00D47923"/>
    <w:rsid w:val="00D47C16"/>
    <w:rsid w:val="00D502AF"/>
    <w:rsid w:val="00D50310"/>
    <w:rsid w:val="00D50546"/>
    <w:rsid w:val="00D50764"/>
    <w:rsid w:val="00D50C12"/>
    <w:rsid w:val="00D51034"/>
    <w:rsid w:val="00D514A9"/>
    <w:rsid w:val="00D51A77"/>
    <w:rsid w:val="00D52239"/>
    <w:rsid w:val="00D522DC"/>
    <w:rsid w:val="00D5250C"/>
    <w:rsid w:val="00D5267B"/>
    <w:rsid w:val="00D53372"/>
    <w:rsid w:val="00D53649"/>
    <w:rsid w:val="00D53830"/>
    <w:rsid w:val="00D53C1E"/>
    <w:rsid w:val="00D53DF8"/>
    <w:rsid w:val="00D5437F"/>
    <w:rsid w:val="00D54637"/>
    <w:rsid w:val="00D5498D"/>
    <w:rsid w:val="00D54FB3"/>
    <w:rsid w:val="00D55889"/>
    <w:rsid w:val="00D55903"/>
    <w:rsid w:val="00D565C4"/>
    <w:rsid w:val="00D56B5F"/>
    <w:rsid w:val="00D57A2F"/>
    <w:rsid w:val="00D57A3F"/>
    <w:rsid w:val="00D57AF0"/>
    <w:rsid w:val="00D6022D"/>
    <w:rsid w:val="00D60867"/>
    <w:rsid w:val="00D61815"/>
    <w:rsid w:val="00D619B0"/>
    <w:rsid w:val="00D627E3"/>
    <w:rsid w:val="00D62ECD"/>
    <w:rsid w:val="00D631C1"/>
    <w:rsid w:val="00D6329D"/>
    <w:rsid w:val="00D638B2"/>
    <w:rsid w:val="00D64426"/>
    <w:rsid w:val="00D64475"/>
    <w:rsid w:val="00D64A2A"/>
    <w:rsid w:val="00D654BE"/>
    <w:rsid w:val="00D65892"/>
    <w:rsid w:val="00D65CB0"/>
    <w:rsid w:val="00D65D78"/>
    <w:rsid w:val="00D66490"/>
    <w:rsid w:val="00D66AAA"/>
    <w:rsid w:val="00D66B04"/>
    <w:rsid w:val="00D670FB"/>
    <w:rsid w:val="00D67BC5"/>
    <w:rsid w:val="00D7005B"/>
    <w:rsid w:val="00D7021B"/>
    <w:rsid w:val="00D70D33"/>
    <w:rsid w:val="00D71862"/>
    <w:rsid w:val="00D71E7F"/>
    <w:rsid w:val="00D71FBA"/>
    <w:rsid w:val="00D7239B"/>
    <w:rsid w:val="00D72FEE"/>
    <w:rsid w:val="00D73077"/>
    <w:rsid w:val="00D732C9"/>
    <w:rsid w:val="00D736A2"/>
    <w:rsid w:val="00D73C57"/>
    <w:rsid w:val="00D73D43"/>
    <w:rsid w:val="00D742FF"/>
    <w:rsid w:val="00D74E33"/>
    <w:rsid w:val="00D758B3"/>
    <w:rsid w:val="00D75A86"/>
    <w:rsid w:val="00D75DFA"/>
    <w:rsid w:val="00D76ADC"/>
    <w:rsid w:val="00D77413"/>
    <w:rsid w:val="00D777D6"/>
    <w:rsid w:val="00D77EF7"/>
    <w:rsid w:val="00D80695"/>
    <w:rsid w:val="00D809B9"/>
    <w:rsid w:val="00D80B04"/>
    <w:rsid w:val="00D815AD"/>
    <w:rsid w:val="00D81F10"/>
    <w:rsid w:val="00D826BB"/>
    <w:rsid w:val="00D82798"/>
    <w:rsid w:val="00D82BF2"/>
    <w:rsid w:val="00D831DA"/>
    <w:rsid w:val="00D8324D"/>
    <w:rsid w:val="00D832EC"/>
    <w:rsid w:val="00D84A57"/>
    <w:rsid w:val="00D84E7B"/>
    <w:rsid w:val="00D85F3E"/>
    <w:rsid w:val="00D87307"/>
    <w:rsid w:val="00D874DF"/>
    <w:rsid w:val="00D8794E"/>
    <w:rsid w:val="00D87A12"/>
    <w:rsid w:val="00D9028C"/>
    <w:rsid w:val="00D9041F"/>
    <w:rsid w:val="00D90737"/>
    <w:rsid w:val="00D90D60"/>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2DC"/>
    <w:rsid w:val="00DA01AE"/>
    <w:rsid w:val="00DA0331"/>
    <w:rsid w:val="00DA043A"/>
    <w:rsid w:val="00DA175F"/>
    <w:rsid w:val="00DA180C"/>
    <w:rsid w:val="00DA18A2"/>
    <w:rsid w:val="00DA1B7B"/>
    <w:rsid w:val="00DA2B10"/>
    <w:rsid w:val="00DA3251"/>
    <w:rsid w:val="00DA3E7B"/>
    <w:rsid w:val="00DA3F17"/>
    <w:rsid w:val="00DA418E"/>
    <w:rsid w:val="00DA4419"/>
    <w:rsid w:val="00DA451D"/>
    <w:rsid w:val="00DA470D"/>
    <w:rsid w:val="00DA4A78"/>
    <w:rsid w:val="00DA4CC5"/>
    <w:rsid w:val="00DA56DB"/>
    <w:rsid w:val="00DA6452"/>
    <w:rsid w:val="00DA6FE9"/>
    <w:rsid w:val="00DA7925"/>
    <w:rsid w:val="00DA7CD8"/>
    <w:rsid w:val="00DA7F89"/>
    <w:rsid w:val="00DB031E"/>
    <w:rsid w:val="00DB040B"/>
    <w:rsid w:val="00DB0AB8"/>
    <w:rsid w:val="00DB0C7C"/>
    <w:rsid w:val="00DB0D2A"/>
    <w:rsid w:val="00DB11CD"/>
    <w:rsid w:val="00DB16A0"/>
    <w:rsid w:val="00DB16BD"/>
    <w:rsid w:val="00DB178F"/>
    <w:rsid w:val="00DB1DAB"/>
    <w:rsid w:val="00DB39D4"/>
    <w:rsid w:val="00DB3A47"/>
    <w:rsid w:val="00DB3BF7"/>
    <w:rsid w:val="00DB4099"/>
    <w:rsid w:val="00DB46D0"/>
    <w:rsid w:val="00DB46DF"/>
    <w:rsid w:val="00DB49B6"/>
    <w:rsid w:val="00DB4E06"/>
    <w:rsid w:val="00DB52F7"/>
    <w:rsid w:val="00DB5895"/>
    <w:rsid w:val="00DB5C22"/>
    <w:rsid w:val="00DB677E"/>
    <w:rsid w:val="00DB6A7F"/>
    <w:rsid w:val="00DB6A80"/>
    <w:rsid w:val="00DB6C06"/>
    <w:rsid w:val="00DB724E"/>
    <w:rsid w:val="00DB7354"/>
    <w:rsid w:val="00DB7B06"/>
    <w:rsid w:val="00DB7B30"/>
    <w:rsid w:val="00DC043D"/>
    <w:rsid w:val="00DC0738"/>
    <w:rsid w:val="00DC318A"/>
    <w:rsid w:val="00DC371F"/>
    <w:rsid w:val="00DC3A9D"/>
    <w:rsid w:val="00DC4004"/>
    <w:rsid w:val="00DC4243"/>
    <w:rsid w:val="00DC5584"/>
    <w:rsid w:val="00DC662F"/>
    <w:rsid w:val="00DC6947"/>
    <w:rsid w:val="00DC6C1E"/>
    <w:rsid w:val="00DC7255"/>
    <w:rsid w:val="00DC72CE"/>
    <w:rsid w:val="00DC7951"/>
    <w:rsid w:val="00DC7A91"/>
    <w:rsid w:val="00DD078D"/>
    <w:rsid w:val="00DD0E0E"/>
    <w:rsid w:val="00DD1C4B"/>
    <w:rsid w:val="00DD1F7B"/>
    <w:rsid w:val="00DD229E"/>
    <w:rsid w:val="00DD25A8"/>
    <w:rsid w:val="00DD3029"/>
    <w:rsid w:val="00DD3535"/>
    <w:rsid w:val="00DD430D"/>
    <w:rsid w:val="00DD5417"/>
    <w:rsid w:val="00DD55E0"/>
    <w:rsid w:val="00DD55F5"/>
    <w:rsid w:val="00DD5EF9"/>
    <w:rsid w:val="00DD66E4"/>
    <w:rsid w:val="00DD6940"/>
    <w:rsid w:val="00DD69DA"/>
    <w:rsid w:val="00DD79CE"/>
    <w:rsid w:val="00DE14CD"/>
    <w:rsid w:val="00DE17D3"/>
    <w:rsid w:val="00DE18A3"/>
    <w:rsid w:val="00DE1904"/>
    <w:rsid w:val="00DE19FB"/>
    <w:rsid w:val="00DE1B83"/>
    <w:rsid w:val="00DE1DAA"/>
    <w:rsid w:val="00DE2519"/>
    <w:rsid w:val="00DE2903"/>
    <w:rsid w:val="00DE2EF0"/>
    <w:rsid w:val="00DE3835"/>
    <w:rsid w:val="00DE3DBB"/>
    <w:rsid w:val="00DE43A2"/>
    <w:rsid w:val="00DE4A74"/>
    <w:rsid w:val="00DE4B05"/>
    <w:rsid w:val="00DE4EE9"/>
    <w:rsid w:val="00DE5105"/>
    <w:rsid w:val="00DE541C"/>
    <w:rsid w:val="00DE702B"/>
    <w:rsid w:val="00DE737B"/>
    <w:rsid w:val="00DE765F"/>
    <w:rsid w:val="00DF08F4"/>
    <w:rsid w:val="00DF100B"/>
    <w:rsid w:val="00DF11B7"/>
    <w:rsid w:val="00DF32F3"/>
    <w:rsid w:val="00DF3EBB"/>
    <w:rsid w:val="00DF4359"/>
    <w:rsid w:val="00DF47ED"/>
    <w:rsid w:val="00DF4A33"/>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E1"/>
    <w:rsid w:val="00E02194"/>
    <w:rsid w:val="00E031BB"/>
    <w:rsid w:val="00E0414F"/>
    <w:rsid w:val="00E0417B"/>
    <w:rsid w:val="00E04322"/>
    <w:rsid w:val="00E04E0E"/>
    <w:rsid w:val="00E04FF3"/>
    <w:rsid w:val="00E0540B"/>
    <w:rsid w:val="00E0576C"/>
    <w:rsid w:val="00E05946"/>
    <w:rsid w:val="00E05C7E"/>
    <w:rsid w:val="00E063EF"/>
    <w:rsid w:val="00E068BC"/>
    <w:rsid w:val="00E06C12"/>
    <w:rsid w:val="00E06EC9"/>
    <w:rsid w:val="00E073F0"/>
    <w:rsid w:val="00E10761"/>
    <w:rsid w:val="00E112F2"/>
    <w:rsid w:val="00E118C5"/>
    <w:rsid w:val="00E11D7A"/>
    <w:rsid w:val="00E11EEB"/>
    <w:rsid w:val="00E1213C"/>
    <w:rsid w:val="00E128F2"/>
    <w:rsid w:val="00E12A25"/>
    <w:rsid w:val="00E13E5A"/>
    <w:rsid w:val="00E13EE4"/>
    <w:rsid w:val="00E14CBF"/>
    <w:rsid w:val="00E15404"/>
    <w:rsid w:val="00E16190"/>
    <w:rsid w:val="00E1619C"/>
    <w:rsid w:val="00E16463"/>
    <w:rsid w:val="00E167EB"/>
    <w:rsid w:val="00E16F82"/>
    <w:rsid w:val="00E16F84"/>
    <w:rsid w:val="00E17F6F"/>
    <w:rsid w:val="00E20018"/>
    <w:rsid w:val="00E20B20"/>
    <w:rsid w:val="00E20C5F"/>
    <w:rsid w:val="00E21303"/>
    <w:rsid w:val="00E21388"/>
    <w:rsid w:val="00E21F16"/>
    <w:rsid w:val="00E22550"/>
    <w:rsid w:val="00E22D75"/>
    <w:rsid w:val="00E230A9"/>
    <w:rsid w:val="00E2329E"/>
    <w:rsid w:val="00E239D1"/>
    <w:rsid w:val="00E246B9"/>
    <w:rsid w:val="00E250C5"/>
    <w:rsid w:val="00E262E9"/>
    <w:rsid w:val="00E26727"/>
    <w:rsid w:val="00E26970"/>
    <w:rsid w:val="00E26EB9"/>
    <w:rsid w:val="00E27205"/>
    <w:rsid w:val="00E2728F"/>
    <w:rsid w:val="00E27791"/>
    <w:rsid w:val="00E30ED0"/>
    <w:rsid w:val="00E30F26"/>
    <w:rsid w:val="00E30F2D"/>
    <w:rsid w:val="00E319DB"/>
    <w:rsid w:val="00E31AFC"/>
    <w:rsid w:val="00E31F8D"/>
    <w:rsid w:val="00E3250F"/>
    <w:rsid w:val="00E328D7"/>
    <w:rsid w:val="00E329D9"/>
    <w:rsid w:val="00E32B80"/>
    <w:rsid w:val="00E32D6C"/>
    <w:rsid w:val="00E338A7"/>
    <w:rsid w:val="00E33995"/>
    <w:rsid w:val="00E3409E"/>
    <w:rsid w:val="00E342E6"/>
    <w:rsid w:val="00E34F76"/>
    <w:rsid w:val="00E35926"/>
    <w:rsid w:val="00E35A80"/>
    <w:rsid w:val="00E35E8F"/>
    <w:rsid w:val="00E3621E"/>
    <w:rsid w:val="00E363B1"/>
    <w:rsid w:val="00E37932"/>
    <w:rsid w:val="00E37BE5"/>
    <w:rsid w:val="00E4008F"/>
    <w:rsid w:val="00E402B8"/>
    <w:rsid w:val="00E40446"/>
    <w:rsid w:val="00E409A9"/>
    <w:rsid w:val="00E40B94"/>
    <w:rsid w:val="00E4115E"/>
    <w:rsid w:val="00E41A27"/>
    <w:rsid w:val="00E41AB4"/>
    <w:rsid w:val="00E424F4"/>
    <w:rsid w:val="00E42737"/>
    <w:rsid w:val="00E4293C"/>
    <w:rsid w:val="00E43741"/>
    <w:rsid w:val="00E4450A"/>
    <w:rsid w:val="00E44906"/>
    <w:rsid w:val="00E44F5D"/>
    <w:rsid w:val="00E44FDB"/>
    <w:rsid w:val="00E45AD9"/>
    <w:rsid w:val="00E45C77"/>
    <w:rsid w:val="00E4608B"/>
    <w:rsid w:val="00E46D7F"/>
    <w:rsid w:val="00E501D3"/>
    <w:rsid w:val="00E50942"/>
    <w:rsid w:val="00E50E6D"/>
    <w:rsid w:val="00E52C85"/>
    <w:rsid w:val="00E532A6"/>
    <w:rsid w:val="00E53A01"/>
    <w:rsid w:val="00E53C76"/>
    <w:rsid w:val="00E54395"/>
    <w:rsid w:val="00E54C24"/>
    <w:rsid w:val="00E557A5"/>
    <w:rsid w:val="00E5588E"/>
    <w:rsid w:val="00E5615E"/>
    <w:rsid w:val="00E564C4"/>
    <w:rsid w:val="00E567C9"/>
    <w:rsid w:val="00E57D40"/>
    <w:rsid w:val="00E57E1A"/>
    <w:rsid w:val="00E604C4"/>
    <w:rsid w:val="00E60809"/>
    <w:rsid w:val="00E61300"/>
    <w:rsid w:val="00E618B7"/>
    <w:rsid w:val="00E62D5C"/>
    <w:rsid w:val="00E635B9"/>
    <w:rsid w:val="00E65D15"/>
    <w:rsid w:val="00E66CD8"/>
    <w:rsid w:val="00E66D1C"/>
    <w:rsid w:val="00E67802"/>
    <w:rsid w:val="00E67B64"/>
    <w:rsid w:val="00E67EE5"/>
    <w:rsid w:val="00E7013A"/>
    <w:rsid w:val="00E70E4E"/>
    <w:rsid w:val="00E72A27"/>
    <w:rsid w:val="00E72C6B"/>
    <w:rsid w:val="00E73503"/>
    <w:rsid w:val="00E73AB7"/>
    <w:rsid w:val="00E73EC0"/>
    <w:rsid w:val="00E746EC"/>
    <w:rsid w:val="00E74F5D"/>
    <w:rsid w:val="00E753DD"/>
    <w:rsid w:val="00E75BDC"/>
    <w:rsid w:val="00E76034"/>
    <w:rsid w:val="00E76C98"/>
    <w:rsid w:val="00E77357"/>
    <w:rsid w:val="00E7781A"/>
    <w:rsid w:val="00E779D0"/>
    <w:rsid w:val="00E80440"/>
    <w:rsid w:val="00E80976"/>
    <w:rsid w:val="00E81034"/>
    <w:rsid w:val="00E817E0"/>
    <w:rsid w:val="00E81B82"/>
    <w:rsid w:val="00E81F1D"/>
    <w:rsid w:val="00E82EE4"/>
    <w:rsid w:val="00E831E7"/>
    <w:rsid w:val="00E843B5"/>
    <w:rsid w:val="00E8479F"/>
    <w:rsid w:val="00E84A3B"/>
    <w:rsid w:val="00E85307"/>
    <w:rsid w:val="00E85B0A"/>
    <w:rsid w:val="00E85B72"/>
    <w:rsid w:val="00E861B2"/>
    <w:rsid w:val="00E869B9"/>
    <w:rsid w:val="00E87718"/>
    <w:rsid w:val="00E87742"/>
    <w:rsid w:val="00E87A18"/>
    <w:rsid w:val="00E87CB7"/>
    <w:rsid w:val="00E907A0"/>
    <w:rsid w:val="00E907E4"/>
    <w:rsid w:val="00E90A24"/>
    <w:rsid w:val="00E90C34"/>
    <w:rsid w:val="00E91220"/>
    <w:rsid w:val="00E919AC"/>
    <w:rsid w:val="00E91A38"/>
    <w:rsid w:val="00E91EDB"/>
    <w:rsid w:val="00E927FA"/>
    <w:rsid w:val="00E92C92"/>
    <w:rsid w:val="00E9321C"/>
    <w:rsid w:val="00E93499"/>
    <w:rsid w:val="00E93947"/>
    <w:rsid w:val="00E93CB3"/>
    <w:rsid w:val="00E946A6"/>
    <w:rsid w:val="00E947E4"/>
    <w:rsid w:val="00E9480A"/>
    <w:rsid w:val="00E94A86"/>
    <w:rsid w:val="00E9616B"/>
    <w:rsid w:val="00E96A29"/>
    <w:rsid w:val="00E96B28"/>
    <w:rsid w:val="00E96FE6"/>
    <w:rsid w:val="00E973A1"/>
    <w:rsid w:val="00E97418"/>
    <w:rsid w:val="00EA06C6"/>
    <w:rsid w:val="00EA0BDE"/>
    <w:rsid w:val="00EA0F54"/>
    <w:rsid w:val="00EA1059"/>
    <w:rsid w:val="00EA1D19"/>
    <w:rsid w:val="00EA1D43"/>
    <w:rsid w:val="00EA26AF"/>
    <w:rsid w:val="00EA2924"/>
    <w:rsid w:val="00EA29EB"/>
    <w:rsid w:val="00EA2C2A"/>
    <w:rsid w:val="00EA2D5D"/>
    <w:rsid w:val="00EA3B07"/>
    <w:rsid w:val="00EA3F87"/>
    <w:rsid w:val="00EA407B"/>
    <w:rsid w:val="00EA41DD"/>
    <w:rsid w:val="00EA48BA"/>
    <w:rsid w:val="00EA4C04"/>
    <w:rsid w:val="00EA4EC9"/>
    <w:rsid w:val="00EA568E"/>
    <w:rsid w:val="00EA57A4"/>
    <w:rsid w:val="00EA5E0F"/>
    <w:rsid w:val="00EA6211"/>
    <w:rsid w:val="00EA67AC"/>
    <w:rsid w:val="00EA6FE4"/>
    <w:rsid w:val="00EA798D"/>
    <w:rsid w:val="00EA7F4C"/>
    <w:rsid w:val="00EB0658"/>
    <w:rsid w:val="00EB0AFB"/>
    <w:rsid w:val="00EB0FBE"/>
    <w:rsid w:val="00EB1D47"/>
    <w:rsid w:val="00EB2146"/>
    <w:rsid w:val="00EB2317"/>
    <w:rsid w:val="00EB23DB"/>
    <w:rsid w:val="00EB26C6"/>
    <w:rsid w:val="00EB279B"/>
    <w:rsid w:val="00EB27C9"/>
    <w:rsid w:val="00EB2ABB"/>
    <w:rsid w:val="00EB2B18"/>
    <w:rsid w:val="00EB2BF3"/>
    <w:rsid w:val="00EB3525"/>
    <w:rsid w:val="00EB495E"/>
    <w:rsid w:val="00EB4F83"/>
    <w:rsid w:val="00EB556F"/>
    <w:rsid w:val="00EB55A9"/>
    <w:rsid w:val="00EB584C"/>
    <w:rsid w:val="00EB5863"/>
    <w:rsid w:val="00EB5D88"/>
    <w:rsid w:val="00EB5FAF"/>
    <w:rsid w:val="00EB6C34"/>
    <w:rsid w:val="00EB6D14"/>
    <w:rsid w:val="00EB6FAA"/>
    <w:rsid w:val="00EB7307"/>
    <w:rsid w:val="00EB772D"/>
    <w:rsid w:val="00EC14B0"/>
    <w:rsid w:val="00EC204E"/>
    <w:rsid w:val="00EC249E"/>
    <w:rsid w:val="00EC25C8"/>
    <w:rsid w:val="00EC2CFF"/>
    <w:rsid w:val="00EC2DFB"/>
    <w:rsid w:val="00EC37EE"/>
    <w:rsid w:val="00EC3C70"/>
    <w:rsid w:val="00EC3EFC"/>
    <w:rsid w:val="00EC4308"/>
    <w:rsid w:val="00EC4472"/>
    <w:rsid w:val="00EC4904"/>
    <w:rsid w:val="00EC4BF9"/>
    <w:rsid w:val="00EC4DF6"/>
    <w:rsid w:val="00EC55AD"/>
    <w:rsid w:val="00EC5F2F"/>
    <w:rsid w:val="00EC651E"/>
    <w:rsid w:val="00EC65E5"/>
    <w:rsid w:val="00EC692E"/>
    <w:rsid w:val="00EC6A56"/>
    <w:rsid w:val="00EC745E"/>
    <w:rsid w:val="00EC775C"/>
    <w:rsid w:val="00EC7EAF"/>
    <w:rsid w:val="00ED1327"/>
    <w:rsid w:val="00ED27C3"/>
    <w:rsid w:val="00ED2ACA"/>
    <w:rsid w:val="00ED2AE2"/>
    <w:rsid w:val="00ED2C5A"/>
    <w:rsid w:val="00ED2FB4"/>
    <w:rsid w:val="00ED33AE"/>
    <w:rsid w:val="00ED3775"/>
    <w:rsid w:val="00ED3BA4"/>
    <w:rsid w:val="00ED4A6D"/>
    <w:rsid w:val="00ED5C13"/>
    <w:rsid w:val="00ED6A4E"/>
    <w:rsid w:val="00ED6D4A"/>
    <w:rsid w:val="00ED721A"/>
    <w:rsid w:val="00ED738C"/>
    <w:rsid w:val="00ED76A8"/>
    <w:rsid w:val="00ED7888"/>
    <w:rsid w:val="00ED7918"/>
    <w:rsid w:val="00ED7FD3"/>
    <w:rsid w:val="00EE00F3"/>
    <w:rsid w:val="00EE0BF7"/>
    <w:rsid w:val="00EE0E5D"/>
    <w:rsid w:val="00EE11C2"/>
    <w:rsid w:val="00EE2A61"/>
    <w:rsid w:val="00EE3663"/>
    <w:rsid w:val="00EE41B8"/>
    <w:rsid w:val="00EE41C4"/>
    <w:rsid w:val="00EE4951"/>
    <w:rsid w:val="00EE4C3C"/>
    <w:rsid w:val="00EE557E"/>
    <w:rsid w:val="00EE5A27"/>
    <w:rsid w:val="00EE69BE"/>
    <w:rsid w:val="00EE6CA4"/>
    <w:rsid w:val="00EE6E77"/>
    <w:rsid w:val="00EE76A9"/>
    <w:rsid w:val="00EE7746"/>
    <w:rsid w:val="00EE799E"/>
    <w:rsid w:val="00EE7CA8"/>
    <w:rsid w:val="00EE7E02"/>
    <w:rsid w:val="00EE7FA7"/>
    <w:rsid w:val="00EF00AD"/>
    <w:rsid w:val="00EF0322"/>
    <w:rsid w:val="00EF1093"/>
    <w:rsid w:val="00EF1466"/>
    <w:rsid w:val="00EF1528"/>
    <w:rsid w:val="00EF1757"/>
    <w:rsid w:val="00EF17FD"/>
    <w:rsid w:val="00EF195E"/>
    <w:rsid w:val="00EF1FCB"/>
    <w:rsid w:val="00EF21C3"/>
    <w:rsid w:val="00EF2C14"/>
    <w:rsid w:val="00EF2E6B"/>
    <w:rsid w:val="00EF3017"/>
    <w:rsid w:val="00EF4862"/>
    <w:rsid w:val="00EF53ED"/>
    <w:rsid w:val="00EF54D1"/>
    <w:rsid w:val="00EF56AF"/>
    <w:rsid w:val="00EF5DF8"/>
    <w:rsid w:val="00EF67BB"/>
    <w:rsid w:val="00EF6B03"/>
    <w:rsid w:val="00EF6F24"/>
    <w:rsid w:val="00EF72F9"/>
    <w:rsid w:val="00F0021E"/>
    <w:rsid w:val="00F0030E"/>
    <w:rsid w:val="00F005CB"/>
    <w:rsid w:val="00F00CD1"/>
    <w:rsid w:val="00F01E6B"/>
    <w:rsid w:val="00F0241C"/>
    <w:rsid w:val="00F0243F"/>
    <w:rsid w:val="00F0265C"/>
    <w:rsid w:val="00F02BF9"/>
    <w:rsid w:val="00F02CD4"/>
    <w:rsid w:val="00F031EE"/>
    <w:rsid w:val="00F0354A"/>
    <w:rsid w:val="00F03C0E"/>
    <w:rsid w:val="00F0415F"/>
    <w:rsid w:val="00F05759"/>
    <w:rsid w:val="00F058C3"/>
    <w:rsid w:val="00F05DF8"/>
    <w:rsid w:val="00F05E96"/>
    <w:rsid w:val="00F064EC"/>
    <w:rsid w:val="00F07701"/>
    <w:rsid w:val="00F07F39"/>
    <w:rsid w:val="00F07F69"/>
    <w:rsid w:val="00F07F6F"/>
    <w:rsid w:val="00F10519"/>
    <w:rsid w:val="00F10CB9"/>
    <w:rsid w:val="00F10E78"/>
    <w:rsid w:val="00F110CD"/>
    <w:rsid w:val="00F110D5"/>
    <w:rsid w:val="00F1113E"/>
    <w:rsid w:val="00F1130C"/>
    <w:rsid w:val="00F12351"/>
    <w:rsid w:val="00F12549"/>
    <w:rsid w:val="00F133AB"/>
    <w:rsid w:val="00F14B82"/>
    <w:rsid w:val="00F15193"/>
    <w:rsid w:val="00F16739"/>
    <w:rsid w:val="00F16DE2"/>
    <w:rsid w:val="00F2041D"/>
    <w:rsid w:val="00F2052B"/>
    <w:rsid w:val="00F20F53"/>
    <w:rsid w:val="00F211CA"/>
    <w:rsid w:val="00F22183"/>
    <w:rsid w:val="00F2260F"/>
    <w:rsid w:val="00F230AB"/>
    <w:rsid w:val="00F242AD"/>
    <w:rsid w:val="00F247F2"/>
    <w:rsid w:val="00F24912"/>
    <w:rsid w:val="00F2518F"/>
    <w:rsid w:val="00F252A8"/>
    <w:rsid w:val="00F255D9"/>
    <w:rsid w:val="00F26276"/>
    <w:rsid w:val="00F265F7"/>
    <w:rsid w:val="00F266CE"/>
    <w:rsid w:val="00F26D0A"/>
    <w:rsid w:val="00F27696"/>
    <w:rsid w:val="00F27A81"/>
    <w:rsid w:val="00F27FA6"/>
    <w:rsid w:val="00F30D7B"/>
    <w:rsid w:val="00F33DC8"/>
    <w:rsid w:val="00F34444"/>
    <w:rsid w:val="00F34FE9"/>
    <w:rsid w:val="00F35149"/>
    <w:rsid w:val="00F35893"/>
    <w:rsid w:val="00F36238"/>
    <w:rsid w:val="00F36BDE"/>
    <w:rsid w:val="00F378F1"/>
    <w:rsid w:val="00F403A1"/>
    <w:rsid w:val="00F403DB"/>
    <w:rsid w:val="00F4065A"/>
    <w:rsid w:val="00F40A47"/>
    <w:rsid w:val="00F4275C"/>
    <w:rsid w:val="00F42AD4"/>
    <w:rsid w:val="00F434B2"/>
    <w:rsid w:val="00F4557B"/>
    <w:rsid w:val="00F45693"/>
    <w:rsid w:val="00F45A18"/>
    <w:rsid w:val="00F50E58"/>
    <w:rsid w:val="00F52077"/>
    <w:rsid w:val="00F52339"/>
    <w:rsid w:val="00F5277A"/>
    <w:rsid w:val="00F52F2E"/>
    <w:rsid w:val="00F532E8"/>
    <w:rsid w:val="00F537FF"/>
    <w:rsid w:val="00F5400C"/>
    <w:rsid w:val="00F543E8"/>
    <w:rsid w:val="00F54E36"/>
    <w:rsid w:val="00F55012"/>
    <w:rsid w:val="00F55DC8"/>
    <w:rsid w:val="00F560FE"/>
    <w:rsid w:val="00F56BF9"/>
    <w:rsid w:val="00F570CD"/>
    <w:rsid w:val="00F6016A"/>
    <w:rsid w:val="00F608D8"/>
    <w:rsid w:val="00F60CD6"/>
    <w:rsid w:val="00F6111C"/>
    <w:rsid w:val="00F614C0"/>
    <w:rsid w:val="00F61647"/>
    <w:rsid w:val="00F616B7"/>
    <w:rsid w:val="00F6205F"/>
    <w:rsid w:val="00F62B99"/>
    <w:rsid w:val="00F62ED2"/>
    <w:rsid w:val="00F63B12"/>
    <w:rsid w:val="00F64279"/>
    <w:rsid w:val="00F657CF"/>
    <w:rsid w:val="00F65808"/>
    <w:rsid w:val="00F6587D"/>
    <w:rsid w:val="00F658AC"/>
    <w:rsid w:val="00F66A00"/>
    <w:rsid w:val="00F66CFB"/>
    <w:rsid w:val="00F6752D"/>
    <w:rsid w:val="00F70C73"/>
    <w:rsid w:val="00F713A3"/>
    <w:rsid w:val="00F71555"/>
    <w:rsid w:val="00F715CB"/>
    <w:rsid w:val="00F71A8F"/>
    <w:rsid w:val="00F71EE8"/>
    <w:rsid w:val="00F73590"/>
    <w:rsid w:val="00F738BE"/>
    <w:rsid w:val="00F75176"/>
    <w:rsid w:val="00F75330"/>
    <w:rsid w:val="00F75659"/>
    <w:rsid w:val="00F758FD"/>
    <w:rsid w:val="00F75984"/>
    <w:rsid w:val="00F75B66"/>
    <w:rsid w:val="00F75E36"/>
    <w:rsid w:val="00F7628A"/>
    <w:rsid w:val="00F76BD9"/>
    <w:rsid w:val="00F76FE4"/>
    <w:rsid w:val="00F80318"/>
    <w:rsid w:val="00F803D0"/>
    <w:rsid w:val="00F80703"/>
    <w:rsid w:val="00F80948"/>
    <w:rsid w:val="00F80B2C"/>
    <w:rsid w:val="00F81387"/>
    <w:rsid w:val="00F82134"/>
    <w:rsid w:val="00F822E3"/>
    <w:rsid w:val="00F82866"/>
    <w:rsid w:val="00F8296B"/>
    <w:rsid w:val="00F82E90"/>
    <w:rsid w:val="00F8379C"/>
    <w:rsid w:val="00F83FFA"/>
    <w:rsid w:val="00F841B0"/>
    <w:rsid w:val="00F841C0"/>
    <w:rsid w:val="00F841FB"/>
    <w:rsid w:val="00F84421"/>
    <w:rsid w:val="00F8449B"/>
    <w:rsid w:val="00F84A57"/>
    <w:rsid w:val="00F84B44"/>
    <w:rsid w:val="00F84B7B"/>
    <w:rsid w:val="00F85047"/>
    <w:rsid w:val="00F85691"/>
    <w:rsid w:val="00F8582E"/>
    <w:rsid w:val="00F8586B"/>
    <w:rsid w:val="00F87032"/>
    <w:rsid w:val="00F87094"/>
    <w:rsid w:val="00F87AB3"/>
    <w:rsid w:val="00F9014A"/>
    <w:rsid w:val="00F9052D"/>
    <w:rsid w:val="00F907C0"/>
    <w:rsid w:val="00F90D0F"/>
    <w:rsid w:val="00F913DC"/>
    <w:rsid w:val="00F914CF"/>
    <w:rsid w:val="00F91DDA"/>
    <w:rsid w:val="00F9258B"/>
    <w:rsid w:val="00F92F9E"/>
    <w:rsid w:val="00F93429"/>
    <w:rsid w:val="00F9397A"/>
    <w:rsid w:val="00F93A37"/>
    <w:rsid w:val="00F93D1F"/>
    <w:rsid w:val="00F94182"/>
    <w:rsid w:val="00F9431F"/>
    <w:rsid w:val="00F944D9"/>
    <w:rsid w:val="00F94A02"/>
    <w:rsid w:val="00F94A3B"/>
    <w:rsid w:val="00F94AB1"/>
    <w:rsid w:val="00F94DB3"/>
    <w:rsid w:val="00F9648D"/>
    <w:rsid w:val="00F96500"/>
    <w:rsid w:val="00F966CE"/>
    <w:rsid w:val="00F971FC"/>
    <w:rsid w:val="00F972B9"/>
    <w:rsid w:val="00F9735A"/>
    <w:rsid w:val="00FA0CA9"/>
    <w:rsid w:val="00FA1E01"/>
    <w:rsid w:val="00FA2C35"/>
    <w:rsid w:val="00FA2C75"/>
    <w:rsid w:val="00FA31E7"/>
    <w:rsid w:val="00FA336F"/>
    <w:rsid w:val="00FA3673"/>
    <w:rsid w:val="00FA413A"/>
    <w:rsid w:val="00FA4144"/>
    <w:rsid w:val="00FA4DDF"/>
    <w:rsid w:val="00FA541E"/>
    <w:rsid w:val="00FA5488"/>
    <w:rsid w:val="00FA556F"/>
    <w:rsid w:val="00FA5C71"/>
    <w:rsid w:val="00FA6393"/>
    <w:rsid w:val="00FA645E"/>
    <w:rsid w:val="00FA67FB"/>
    <w:rsid w:val="00FA6A01"/>
    <w:rsid w:val="00FA6E7F"/>
    <w:rsid w:val="00FA7114"/>
    <w:rsid w:val="00FA724F"/>
    <w:rsid w:val="00FA77CB"/>
    <w:rsid w:val="00FA7CEE"/>
    <w:rsid w:val="00FB052D"/>
    <w:rsid w:val="00FB1178"/>
    <w:rsid w:val="00FB22D7"/>
    <w:rsid w:val="00FB2379"/>
    <w:rsid w:val="00FB240E"/>
    <w:rsid w:val="00FB2894"/>
    <w:rsid w:val="00FB2D32"/>
    <w:rsid w:val="00FB3C95"/>
    <w:rsid w:val="00FB3CB7"/>
    <w:rsid w:val="00FB42BE"/>
    <w:rsid w:val="00FB452D"/>
    <w:rsid w:val="00FB4B8A"/>
    <w:rsid w:val="00FB4E42"/>
    <w:rsid w:val="00FB5152"/>
    <w:rsid w:val="00FB5F8F"/>
    <w:rsid w:val="00FB680E"/>
    <w:rsid w:val="00FB6B73"/>
    <w:rsid w:val="00FB706D"/>
    <w:rsid w:val="00FB770C"/>
    <w:rsid w:val="00FB7A0B"/>
    <w:rsid w:val="00FC0065"/>
    <w:rsid w:val="00FC0148"/>
    <w:rsid w:val="00FC062F"/>
    <w:rsid w:val="00FC0754"/>
    <w:rsid w:val="00FC1E7D"/>
    <w:rsid w:val="00FC2232"/>
    <w:rsid w:val="00FC2370"/>
    <w:rsid w:val="00FC23DB"/>
    <w:rsid w:val="00FC2E77"/>
    <w:rsid w:val="00FC3AEE"/>
    <w:rsid w:val="00FC605C"/>
    <w:rsid w:val="00FC6238"/>
    <w:rsid w:val="00FC7951"/>
    <w:rsid w:val="00FC7EAE"/>
    <w:rsid w:val="00FD072B"/>
    <w:rsid w:val="00FD236B"/>
    <w:rsid w:val="00FD2785"/>
    <w:rsid w:val="00FD33FC"/>
    <w:rsid w:val="00FD3534"/>
    <w:rsid w:val="00FD3730"/>
    <w:rsid w:val="00FD3ADE"/>
    <w:rsid w:val="00FD3B08"/>
    <w:rsid w:val="00FD4806"/>
    <w:rsid w:val="00FD4BA4"/>
    <w:rsid w:val="00FD534E"/>
    <w:rsid w:val="00FD56C7"/>
    <w:rsid w:val="00FD59C1"/>
    <w:rsid w:val="00FD5CBB"/>
    <w:rsid w:val="00FD6564"/>
    <w:rsid w:val="00FD6B74"/>
    <w:rsid w:val="00FD70AE"/>
    <w:rsid w:val="00FD7271"/>
    <w:rsid w:val="00FD7FFD"/>
    <w:rsid w:val="00FE002E"/>
    <w:rsid w:val="00FE2398"/>
    <w:rsid w:val="00FE37EC"/>
    <w:rsid w:val="00FE3EAD"/>
    <w:rsid w:val="00FE4ECB"/>
    <w:rsid w:val="00FE515A"/>
    <w:rsid w:val="00FE5421"/>
    <w:rsid w:val="00FE5624"/>
    <w:rsid w:val="00FE5AEE"/>
    <w:rsid w:val="00FE5D2C"/>
    <w:rsid w:val="00FE5FBF"/>
    <w:rsid w:val="00FE61F1"/>
    <w:rsid w:val="00FE6C25"/>
    <w:rsid w:val="00FF033A"/>
    <w:rsid w:val="00FF0964"/>
    <w:rsid w:val="00FF0F67"/>
    <w:rsid w:val="00FF16F2"/>
    <w:rsid w:val="00FF1F9B"/>
    <w:rsid w:val="00FF24D4"/>
    <w:rsid w:val="00FF2B42"/>
    <w:rsid w:val="00FF2D5B"/>
    <w:rsid w:val="00FF371D"/>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3D68"/>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14"/>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24"/>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4273</TotalTime>
  <Pages>20</Pages>
  <Words>12142</Words>
  <Characters>69215</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R1- 2302736</vt:lpstr>
    </vt:vector>
  </TitlesOfParts>
  <Company>Nokia &amp; NSN</Company>
  <LinksUpToDate>false</LinksUpToDate>
  <CharactersWithSpaces>81195</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R1-2305188</dc:title>
  <dc:subject/>
  <dc:creator/>
  <cp:keywords/>
  <dc:description/>
  <cp:lastModifiedBy>Mohammed Al-Imari</cp:lastModifiedBy>
  <cp:revision>1080</cp:revision>
  <cp:lastPrinted>2022-04-20T10:29:00Z</cp:lastPrinted>
  <dcterms:created xsi:type="dcterms:W3CDTF">2022-09-30T15:35:00Z</dcterms:created>
  <dcterms:modified xsi:type="dcterms:W3CDTF">2023-05-14T23:17:00Z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